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2"/>
        <w:jc w:val="right"/>
        <w:spacing w:after="160"/>
        <w:tabs>
          <w:tab w:val="left" w:pos="468" w:leader="none"/>
          <w:tab w:val="left" w:pos="1686" w:leader="none"/>
          <w:tab w:val="left" w:pos="3158" w:leader="none"/>
          <w:tab w:val="left" w:pos="4120" w:leader="none"/>
          <w:tab w:val="left" w:pos="5592" w:leader="none"/>
          <w:tab w:val="left" w:pos="6817" w:leader="none"/>
          <w:tab w:val="left" w:pos="8021" w:leader="none"/>
        </w:tabs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margin">
                  <wp:posOffset>3810</wp:posOffset>
                </wp:positionH>
                <wp:positionV relativeFrom="paragraph">
                  <wp:posOffset>-146684</wp:posOffset>
                </wp:positionV>
                <wp:extent cx="2181860" cy="723900"/>
                <wp:effectExtent l="0" t="0" r="0" b="0"/>
                <wp:wrapNone/>
                <wp:docPr id="1" name="_x0000_s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18186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margin;margin-left:0.30pt;mso-position-horizontal:absolute;mso-position-vertical-relative:text;margin-top:-11.55pt;mso-position-vertical:absolute;width:171.80pt;height:57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2"/>
        <w:jc w:val="right"/>
        <w:spacing w:after="160"/>
        <w:tabs>
          <w:tab w:val="left" w:pos="468" w:leader="none"/>
          <w:tab w:val="left" w:pos="1686" w:leader="none"/>
          <w:tab w:val="left" w:pos="3158" w:leader="none"/>
          <w:tab w:val="left" w:pos="4120" w:leader="none"/>
          <w:tab w:val="left" w:pos="5592" w:leader="none"/>
          <w:tab w:val="left" w:pos="6817" w:leader="none"/>
          <w:tab w:val="left" w:pos="8021" w:leader="none"/>
        </w:tabs>
        <w:rPr>
          <w:rStyle w:val="737"/>
          <w:bCs/>
          <w:sz w:val="28"/>
          <w:szCs w:val="28"/>
        </w:rPr>
      </w:pPr>
      <w:r>
        <w:rPr>
          <w:rStyle w:val="737"/>
          <w:bCs/>
          <w:sz w:val="28"/>
          <w:szCs w:val="28"/>
        </w:rPr>
      </w:r>
      <w:r>
        <w:rPr>
          <w:rStyle w:val="737"/>
          <w:bCs/>
          <w:sz w:val="28"/>
          <w:szCs w:val="28"/>
        </w:rPr>
      </w:r>
    </w:p>
    <w:p>
      <w:pPr>
        <w:pStyle w:val="672"/>
        <w:jc w:val="center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Какие</w:t>
      </w:r>
      <w:r>
        <w:rPr>
          <w:b/>
          <w:sz w:val="28"/>
          <w:szCs w:val="28"/>
        </w:rPr>
        <w:t xml:space="preserve"> обременени</w:t>
      </w:r>
      <w:r>
        <w:rPr>
          <w:b/>
          <w:sz w:val="28"/>
          <w:szCs w:val="28"/>
        </w:rPr>
        <w:t xml:space="preserve">я</w:t>
      </w:r>
      <w:r>
        <w:rPr>
          <w:b/>
          <w:sz w:val="28"/>
          <w:szCs w:val="28"/>
        </w:rPr>
        <w:t xml:space="preserve"> недвижимости </w:t>
      </w:r>
      <w:r>
        <w:rPr>
          <w:b/>
          <w:sz w:val="28"/>
          <w:szCs w:val="28"/>
        </w:rPr>
        <w:t xml:space="preserve">существуют </w:t>
      </w:r>
      <w:r>
        <w:rPr>
          <w:b/>
          <w:sz w:val="28"/>
          <w:szCs w:val="28"/>
        </w:rPr>
        <w:t xml:space="preserve">и как их снять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72"/>
        <w:ind w:firstLine="709"/>
        <w:jc w:val="center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</w:t>
      </w:r>
      <w:r>
        <w:rPr>
          <w:b/>
          <w:sz w:val="28"/>
          <w:szCs w:val="28"/>
        </w:rPr>
        <w:t xml:space="preserve">правление Росреестра по Челябинской области сообщает, что при сделках с недвижимостью важно учитывать наличие обременений, поскольку они накладывают ограничения на объект. </w:t>
      </w:r>
      <w:r>
        <w:rPr>
          <w:b/>
          <w:sz w:val="28"/>
          <w:szCs w:val="28"/>
        </w:rPr>
        <w:t xml:space="preserve">Подготовили подборку актуальных вопросов по этой теме, читайте и сохраняйте полезную информацию.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Что такое обременение</w:t>
      </w:r>
      <w:r>
        <w:rPr>
          <w:b/>
          <w:sz w:val="28"/>
          <w:szCs w:val="28"/>
        </w:rPr>
        <w:t xml:space="preserve"> и какие есть виды обременений</w:t>
      </w:r>
      <w:r>
        <w:rPr>
          <w:b/>
          <w:sz w:val="28"/>
          <w:szCs w:val="28"/>
        </w:rPr>
        <w:t xml:space="preserve">?</w:t>
      </w:r>
      <w:r>
        <w:rPr>
          <w:b/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Обременение – </w:t>
      </w:r>
      <w:r>
        <w:rPr>
          <w:sz w:val="28"/>
          <w:szCs w:val="28"/>
        </w:rPr>
        <w:t xml:space="preserve">это </w:t>
      </w:r>
      <w:r>
        <w:rPr>
          <w:sz w:val="28"/>
          <w:szCs w:val="28"/>
        </w:rPr>
        <w:t xml:space="preserve">добровольное или принудительное </w:t>
      </w:r>
      <w:r>
        <w:rPr>
          <w:sz w:val="28"/>
          <w:szCs w:val="28"/>
        </w:rPr>
        <w:t xml:space="preserve">ограничени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прав собственности на объект недвижимости, в том числе квартиру, дом или земельный участок. Если на объект наложено обременение, то собственник не может в полной мере распоряжаться своим имуществом до момента его снятия.</w:t>
      </w:r>
      <w:r>
        <w:rPr>
          <w:sz w:val="28"/>
          <w:szCs w:val="28"/>
        </w:rPr>
        <w:t xml:space="preserve"> К видам обременений относят: </w:t>
      </w:r>
      <w:r>
        <w:rPr>
          <w:sz w:val="28"/>
          <w:szCs w:val="28"/>
        </w:rPr>
        <w:t xml:space="preserve">ипотек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, арест, аренд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, рент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, сервитут.</w:t>
      </w:r>
      <w:r>
        <w:rPr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Как снять обременение?</w:t>
      </w:r>
      <w:r>
        <w:rPr>
          <w:b/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того, чтобы снять </w:t>
      </w:r>
      <w:r>
        <w:rPr>
          <w:sz w:val="28"/>
          <w:szCs w:val="28"/>
        </w:rPr>
        <w:t xml:space="preserve">обременение</w:t>
      </w:r>
      <w:r>
        <w:rPr>
          <w:sz w:val="28"/>
          <w:szCs w:val="28"/>
        </w:rPr>
        <w:t xml:space="preserve">, если </w:t>
      </w:r>
      <w:r>
        <w:rPr>
          <w:sz w:val="28"/>
          <w:szCs w:val="28"/>
        </w:rPr>
        <w:t xml:space="preserve">это</w:t>
      </w:r>
      <w:r>
        <w:rPr>
          <w:sz w:val="28"/>
          <w:szCs w:val="28"/>
        </w:rPr>
        <w:t xml:space="preserve">, к примеру,</w:t>
      </w:r>
      <w:r>
        <w:rPr>
          <w:sz w:val="28"/>
          <w:szCs w:val="28"/>
        </w:rPr>
        <w:t xml:space="preserve"> ипотека с использованием средств банка, </w:t>
      </w:r>
      <w:r>
        <w:rPr>
          <w:sz w:val="28"/>
          <w:szCs w:val="28"/>
        </w:rPr>
        <w:t xml:space="preserve">то </w:t>
      </w:r>
      <w:r>
        <w:rPr>
          <w:sz w:val="28"/>
          <w:szCs w:val="28"/>
        </w:rPr>
        <w:t xml:space="preserve">необходимо погасить кредит либо получить согласие банка.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же </w:t>
      </w:r>
      <w:r>
        <w:rPr>
          <w:sz w:val="28"/>
          <w:szCs w:val="28"/>
        </w:rPr>
        <w:t xml:space="preserve">недвижимость арестована по исполнительному производству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то</w:t>
      </w:r>
      <w:r>
        <w:rPr>
          <w:sz w:val="28"/>
          <w:szCs w:val="28"/>
        </w:rPr>
        <w:t xml:space="preserve"> следует </w:t>
      </w:r>
      <w:r>
        <w:rPr>
          <w:sz w:val="28"/>
          <w:szCs w:val="28"/>
        </w:rPr>
        <w:t xml:space="preserve">полностью рассчитаться с долгами.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обременена наймом – дождаться окончания срока договора.</w:t>
      </w:r>
      <w:r>
        <w:rPr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ситуации с сервитутом </w:t>
      </w:r>
      <w:r>
        <w:rPr>
          <w:sz w:val="28"/>
          <w:szCs w:val="28"/>
        </w:rPr>
        <w:t xml:space="preserve">(право пользования чужим объектом недвижимости) </w:t>
      </w:r>
      <w:r>
        <w:rPr>
          <w:sz w:val="28"/>
          <w:szCs w:val="28"/>
        </w:rPr>
        <w:t xml:space="preserve">обременение </w:t>
      </w:r>
      <w:r>
        <w:rPr>
          <w:sz w:val="28"/>
          <w:szCs w:val="28"/>
        </w:rPr>
        <w:t xml:space="preserve">прекращается: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истечению срока, на который он был установлен;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соглашения сторон о его расторжении (частный сервитут);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акта уполномоченного органа (публичный сервитут).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 ренты (в данном случае речь о регулярном доходе с объекта недвижимости) расторгается:</w:t>
      </w:r>
      <w:r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сли стороны достигли согласия – у </w:t>
      </w:r>
      <w:r>
        <w:rPr>
          <w:sz w:val="28"/>
          <w:szCs w:val="28"/>
        </w:rPr>
        <w:t xml:space="preserve">нотариуса, а</w:t>
      </w:r>
      <w:r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сли не достигли – в судебном порядке.</w:t>
      </w:r>
      <w:r>
        <w:rPr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Как узнать об обременении на объект недвижимости? </w:t>
      </w:r>
      <w:r>
        <w:rPr>
          <w:b/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rFonts w:ascii="Arial" w:hAnsi="Arial" w:cs="Arial"/>
          <w:color w:val="222222"/>
          <w:sz w:val="20"/>
          <w:szCs w:val="20"/>
          <w:shd w:val="clear" w:color="auto" w:fill="f7f7f7"/>
        </w:rPr>
      </w:pPr>
      <w:r>
        <w:rPr>
          <w:sz w:val="28"/>
          <w:szCs w:val="28"/>
        </w:rPr>
        <w:t xml:space="preserve">Узнать об </w:t>
      </w:r>
      <w:r>
        <w:rPr>
          <w:sz w:val="28"/>
          <w:szCs w:val="28"/>
        </w:rPr>
        <w:t xml:space="preserve">обременени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 </w:t>
      </w:r>
      <w:r>
        <w:rPr>
          <w:sz w:val="28"/>
          <w:szCs w:val="28"/>
        </w:rPr>
        <w:t xml:space="preserve">в выписке из Е</w:t>
      </w:r>
      <w:r>
        <w:rPr>
          <w:sz w:val="28"/>
          <w:szCs w:val="28"/>
        </w:rPr>
        <w:t xml:space="preserve">ГРН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ней</w:t>
      </w:r>
      <w:r>
        <w:rPr>
          <w:sz w:val="28"/>
          <w:szCs w:val="28"/>
        </w:rPr>
        <w:t xml:space="preserve"> указываются данные о наличии зарегистрированного обременения, его виде (например, аренда, ипотека)</w:t>
      </w:r>
      <w:r>
        <w:rPr>
          <w:sz w:val="28"/>
          <w:szCs w:val="28"/>
        </w:rPr>
        <w:t xml:space="preserve"> и предмете (например, часть объекта недвижимости). Также </w:t>
      </w:r>
      <w:r>
        <w:rPr>
          <w:sz w:val="28"/>
          <w:szCs w:val="28"/>
        </w:rPr>
        <w:t xml:space="preserve">указаны</w:t>
      </w:r>
      <w:r>
        <w:rPr>
          <w:sz w:val="28"/>
          <w:szCs w:val="28"/>
        </w:rPr>
        <w:t xml:space="preserve"> сведения о сроке, на который установлено обременение, и о том, в чью пользу оно установлено (например, ипотека 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в пользу банка).</w:t>
      </w:r>
      <w:r>
        <w:rPr>
          <w:rFonts w:ascii="Arial" w:hAnsi="Arial" w:cs="Arial"/>
          <w:color w:val="222222"/>
          <w:sz w:val="20"/>
          <w:szCs w:val="20"/>
          <w:shd w:val="clear" w:color="auto" w:fill="f7f7f7"/>
        </w:rPr>
      </w:r>
      <w:r>
        <w:rPr>
          <w:rFonts w:ascii="Arial" w:hAnsi="Arial" w:cs="Arial"/>
          <w:color w:val="222222"/>
          <w:sz w:val="20"/>
          <w:szCs w:val="20"/>
          <w:shd w:val="clear" w:color="auto" w:fill="f7f7f7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Как происходит процесс п</w:t>
      </w: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гашени</w:t>
      </w:r>
      <w:r>
        <w:rPr>
          <w:b/>
          <w:sz w:val="28"/>
          <w:szCs w:val="28"/>
        </w:rPr>
        <w:t xml:space="preserve">я</w:t>
      </w:r>
      <w:r>
        <w:rPr>
          <w:b/>
          <w:sz w:val="28"/>
          <w:szCs w:val="28"/>
        </w:rPr>
        <w:t xml:space="preserve"> записи об обременении в ЕГРН</w:t>
      </w:r>
      <w:r>
        <w:rPr>
          <w:b/>
          <w:sz w:val="28"/>
          <w:szCs w:val="28"/>
        </w:rPr>
        <w:t xml:space="preserve">?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После устранения причины обременения организация, наложившая ограничение, направит в Росреестр информацию об этом. В случае ареста – акт о снятии ареста, в случае с ипотекой – документ о снятии ограничения.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зависимости от вида обременения запись о не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погашается в ЕГРН в срок от 1 до 5 рабочих дней.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Как проверить, что обременение снято?</w:t>
      </w:r>
      <w:r>
        <w:rPr>
          <w:b/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Это можно сделать са</w:t>
      </w:r>
      <w:r>
        <w:rPr>
          <w:sz w:val="28"/>
          <w:szCs w:val="28"/>
        </w:rPr>
        <w:t xml:space="preserve">мостоятельно.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сайте Росреестра </w:t>
      </w:r>
      <w:r>
        <w:rPr>
          <w:sz w:val="28"/>
          <w:szCs w:val="28"/>
        </w:rPr>
        <w:t xml:space="preserve">следует </w:t>
      </w:r>
      <w:r>
        <w:rPr>
          <w:sz w:val="28"/>
          <w:szCs w:val="28"/>
        </w:rPr>
        <w:t xml:space="preserve">выбрать вкладку «Справочная информация по объектам недвижимости в режиме </w:t>
      </w:r>
      <w:r>
        <w:rPr>
          <w:sz w:val="28"/>
          <w:szCs w:val="28"/>
          <w:lang w:val="en-US"/>
        </w:rPr>
        <w:t xml:space="preserve">online</w:t>
      </w:r>
      <w:r>
        <w:rPr>
          <w:sz w:val="28"/>
          <w:szCs w:val="28"/>
        </w:rPr>
        <w:t xml:space="preserve">», далее – поиск по кадастровому номеру или адресу. Такую информацию может получить любой желающий.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того, в</w:t>
      </w:r>
      <w:r>
        <w:rPr>
          <w:sz w:val="28"/>
          <w:szCs w:val="28"/>
        </w:rPr>
        <w:t xml:space="preserve"> личном кабинете на портале Госуслуг правообладатель может заказать онлайн-выписку на сво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объекты недвижимости.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Долги погашены, но арест по-прежнему отражается в выписке из ЕГРН, что делать?</w:t>
      </w:r>
      <w:r>
        <w:rPr>
          <w:b/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этом случае </w:t>
      </w:r>
      <w:r>
        <w:rPr>
          <w:sz w:val="28"/>
          <w:szCs w:val="28"/>
        </w:rPr>
        <w:t xml:space="preserve">следует о</w:t>
      </w:r>
      <w:r>
        <w:rPr>
          <w:sz w:val="28"/>
          <w:szCs w:val="28"/>
        </w:rPr>
        <w:t xml:space="preserve">братиться в орган, наложивший арест (запрет), с заявлением о его прекращении. Если ограничение уже прекращено – с заявлением о направлении в Росреестр документа, подтверждающего снятие ограничений.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2"/>
        <w:ind w:firstLine="709"/>
        <w:jc w:val="both"/>
        <w:tabs>
          <w:tab w:val="left" w:pos="483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2"/>
        <w:ind w:firstLine="709"/>
        <w:jc w:val="right"/>
        <w:tabs>
          <w:tab w:val="left" w:pos="4830" w:leader="none"/>
        </w:tabs>
        <w:rPr>
          <w:rStyle w:val="737"/>
          <w:b/>
          <w:bCs/>
          <w:sz w:val="28"/>
          <w:szCs w:val="28"/>
          <w:shd w:val="clear" w:color="auto" w:fill="ffffff"/>
        </w:rPr>
      </w:pPr>
      <w:r>
        <w:rPr>
          <w:rStyle w:val="737"/>
          <w:b/>
          <w:bCs/>
          <w:sz w:val="28"/>
          <w:szCs w:val="28"/>
          <w:shd w:val="clear" w:color="auto" w:fill="ffffff"/>
        </w:rPr>
        <w:t xml:space="preserve">Материал подготовлен пресс-службой</w:t>
      </w:r>
      <w:r>
        <w:rPr>
          <w:rStyle w:val="737"/>
          <w:b/>
          <w:bCs/>
          <w:sz w:val="28"/>
          <w:szCs w:val="28"/>
          <w:shd w:val="clear" w:color="auto" w:fill="ffffff"/>
        </w:rPr>
      </w:r>
    </w:p>
    <w:p>
      <w:pPr>
        <w:pStyle w:val="672"/>
        <w:jc w:val="right"/>
        <w:rPr>
          <w:rStyle w:val="737"/>
          <w:b/>
          <w:bCs/>
          <w:sz w:val="28"/>
          <w:szCs w:val="28"/>
          <w:shd w:val="clear" w:color="auto" w:fill="ffffff"/>
        </w:rPr>
      </w:pPr>
      <w:r>
        <w:rPr>
          <w:rStyle w:val="737"/>
          <w:b/>
          <w:bCs/>
          <w:sz w:val="28"/>
          <w:szCs w:val="28"/>
          <w:shd w:val="clear" w:color="auto" w:fill="ffffff"/>
        </w:rPr>
        <w:t xml:space="preserve">Росреестра и Роскадастра по Челябинской области</w:t>
      </w:r>
      <w:r>
        <w:rPr>
          <w:rStyle w:val="737"/>
          <w:b/>
          <w:bCs/>
          <w:sz w:val="28"/>
          <w:szCs w:val="28"/>
          <w:shd w:val="clear" w:color="auto" w:fill="ffffff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709" w:right="567" w:bottom="567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ource Han Sans CN Regular">
    <w:panose1 w:val="02000603000000000000"/>
  </w:font>
  <w:font w:name="Golos">
    <w:panose1 w:val="02000603000000000000"/>
  </w:font>
  <w:font w:name="Helvetica Neue">
    <w:panose1 w:val="02000603000000000000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Segoe UI">
    <w:panose1 w:val="020B0502040504020204"/>
  </w:font>
  <w:font w:name="Times New Roman">
    <w:panose1 w:val="02020603050405020304"/>
  </w:font>
  <w:font w:name="Wingdings">
    <w:panose1 w:val="05010000000000000000"/>
  </w:font>
  <w:font w:name="PT Sans">
    <w:panose1 w:val="020B0503020203020204"/>
  </w:font>
  <w:font w:name="Lucida Sans">
    <w:panose1 w:val="020B0502040504020204"/>
  </w:font>
  <w:font w:name="Courier New">
    <w:panose1 w:val="02070409020205020404"/>
  </w:font>
  <w:font w:name="Mangal">
    <w:panose1 w:val="02040503050306020203"/>
  </w:font>
  <w:font w:name="Symbol">
    <w:panose1 w:val="05010000000000000000"/>
  </w:font>
  <w:font w:name="Arial">
    <w:panose1 w:val="020B0604020202020204"/>
  </w:font>
  <w:font w:name="PT Astra Serif">
    <w:panose1 w:val="020A0603040505020204"/>
  </w:font>
  <w:font w:name="Arial Unicode MS">
    <w:panose1 w:val="020B0506020203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2"/>
    <w:next w:val="672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2"/>
    <w:next w:val="67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2"/>
    <w:next w:val="67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2"/>
    <w:next w:val="67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2"/>
    <w:next w:val="67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2"/>
    <w:next w:val="67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2"/>
    <w:next w:val="67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2"/>
    <w:next w:val="67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2"/>
    <w:next w:val="67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2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2"/>
    <w:next w:val="67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72"/>
    <w:next w:val="67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72"/>
    <w:next w:val="67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2"/>
    <w:next w:val="67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2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7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72"/>
    <w:next w:val="6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7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72"/>
    <w:next w:val="67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2"/>
    <w:next w:val="67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2"/>
    <w:next w:val="67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2"/>
    <w:next w:val="67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2"/>
    <w:next w:val="67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2"/>
    <w:next w:val="67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2"/>
    <w:next w:val="67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2"/>
    <w:next w:val="67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2"/>
    <w:next w:val="67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2"/>
    <w:next w:val="672"/>
    <w:uiPriority w:val="99"/>
    <w:unhideWhenUsed/>
    <w:pPr>
      <w:spacing w:after="0" w:afterAutospacing="0"/>
    </w:pPr>
  </w:style>
  <w:style w:type="paragraph" w:styleId="672" w:default="1">
    <w:name w:val="Normal"/>
    <w:next w:val="672"/>
    <w:link w:val="672"/>
    <w:qFormat/>
    <w:rPr>
      <w:sz w:val="24"/>
      <w:szCs w:val="24"/>
      <w:lang w:val="ru-RU" w:eastAsia="ru-RU" w:bidi="ar-SA"/>
    </w:rPr>
  </w:style>
  <w:style w:type="character" w:styleId="673">
    <w:name w:val="Основной шрифт абзаца"/>
    <w:next w:val="673"/>
    <w:link w:val="672"/>
    <w:uiPriority w:val="1"/>
    <w:unhideWhenUsed/>
  </w:style>
  <w:style w:type="table" w:styleId="674">
    <w:name w:val="Обычная таблица"/>
    <w:next w:val="674"/>
    <w:link w:val="672"/>
    <w:uiPriority w:val="99"/>
    <w:semiHidden/>
    <w:unhideWhenUsed/>
    <w:tblPr/>
  </w:style>
  <w:style w:type="numbering" w:styleId="675">
    <w:name w:val="Нет списка"/>
    <w:next w:val="675"/>
    <w:link w:val="672"/>
    <w:uiPriority w:val="99"/>
    <w:semiHidden/>
    <w:unhideWhenUsed/>
  </w:style>
  <w:style w:type="character" w:styleId="676">
    <w:name w:val="WW8Num1z0"/>
    <w:next w:val="676"/>
    <w:link w:val="672"/>
    <w:rPr>
      <w:rFonts w:ascii="Symbol" w:hAnsi="Symbol" w:cs="Symbol"/>
    </w:rPr>
  </w:style>
  <w:style w:type="character" w:styleId="677">
    <w:name w:val="WW8Num1z1"/>
    <w:next w:val="677"/>
    <w:link w:val="672"/>
    <w:rPr>
      <w:rFonts w:ascii="Courier New" w:hAnsi="Courier New" w:cs="Courier New"/>
    </w:rPr>
  </w:style>
  <w:style w:type="character" w:styleId="678">
    <w:name w:val="WW8Num1z2"/>
    <w:next w:val="678"/>
    <w:link w:val="672"/>
    <w:rPr>
      <w:rFonts w:ascii="Wingdings" w:hAnsi="Wingdings" w:cs="Wingdings"/>
    </w:rPr>
  </w:style>
  <w:style w:type="character" w:styleId="679">
    <w:name w:val="WW8Num2z0"/>
    <w:next w:val="679"/>
    <w:link w:val="672"/>
    <w:rPr>
      <w:rFonts w:ascii="Symbol" w:hAnsi="Symbol" w:cs="Symbol"/>
    </w:rPr>
  </w:style>
  <w:style w:type="character" w:styleId="680">
    <w:name w:val="WW8Num2z1"/>
    <w:next w:val="680"/>
    <w:link w:val="672"/>
    <w:rPr>
      <w:rFonts w:ascii="Courier New" w:hAnsi="Courier New" w:cs="Courier New"/>
    </w:rPr>
  </w:style>
  <w:style w:type="character" w:styleId="681">
    <w:name w:val="WW8Num2z2"/>
    <w:next w:val="681"/>
    <w:link w:val="672"/>
    <w:rPr>
      <w:rFonts w:ascii="Wingdings" w:hAnsi="Wingdings" w:cs="Wingdings"/>
    </w:rPr>
  </w:style>
  <w:style w:type="character" w:styleId="682">
    <w:name w:val="Основной шрифт абзаца13"/>
    <w:next w:val="682"/>
    <w:link w:val="672"/>
  </w:style>
  <w:style w:type="character" w:styleId="683">
    <w:name w:val="WW8Num1z3"/>
    <w:next w:val="683"/>
    <w:link w:val="672"/>
    <w:rPr>
      <w:rFonts w:ascii="Symbol" w:hAnsi="Symbol" w:cs="Symbol"/>
    </w:rPr>
  </w:style>
  <w:style w:type="character" w:styleId="684">
    <w:name w:val="WW8Num1z4"/>
    <w:next w:val="684"/>
    <w:link w:val="672"/>
  </w:style>
  <w:style w:type="character" w:styleId="685">
    <w:name w:val="WW8Num1z5"/>
    <w:next w:val="685"/>
    <w:link w:val="672"/>
  </w:style>
  <w:style w:type="character" w:styleId="686">
    <w:name w:val="WW8Num1z6"/>
    <w:next w:val="686"/>
    <w:link w:val="672"/>
  </w:style>
  <w:style w:type="character" w:styleId="687">
    <w:name w:val="WW8Num1z7"/>
    <w:next w:val="687"/>
    <w:link w:val="672"/>
  </w:style>
  <w:style w:type="character" w:styleId="688">
    <w:name w:val="WW8Num1z8"/>
    <w:next w:val="688"/>
    <w:link w:val="672"/>
  </w:style>
  <w:style w:type="character" w:styleId="689">
    <w:name w:val="Основной шрифт абзаца12"/>
    <w:next w:val="689"/>
    <w:link w:val="672"/>
  </w:style>
  <w:style w:type="character" w:styleId="690">
    <w:name w:val="WW8Num3z0"/>
    <w:next w:val="690"/>
    <w:link w:val="672"/>
  </w:style>
  <w:style w:type="character" w:styleId="691">
    <w:name w:val="WW8Num3z1"/>
    <w:next w:val="691"/>
    <w:link w:val="672"/>
  </w:style>
  <w:style w:type="character" w:styleId="692">
    <w:name w:val="WW8Num3z2"/>
    <w:next w:val="692"/>
    <w:link w:val="672"/>
  </w:style>
  <w:style w:type="character" w:styleId="693">
    <w:name w:val="WW8Num3z3"/>
    <w:next w:val="693"/>
    <w:link w:val="672"/>
  </w:style>
  <w:style w:type="character" w:styleId="694">
    <w:name w:val="WW8Num3z4"/>
    <w:next w:val="694"/>
    <w:link w:val="672"/>
  </w:style>
  <w:style w:type="character" w:styleId="695">
    <w:name w:val="WW8Num3z5"/>
    <w:next w:val="695"/>
    <w:link w:val="672"/>
  </w:style>
  <w:style w:type="character" w:styleId="696">
    <w:name w:val="WW8Num3z6"/>
    <w:next w:val="696"/>
    <w:link w:val="672"/>
  </w:style>
  <w:style w:type="character" w:styleId="697">
    <w:name w:val="WW8Num3z7"/>
    <w:next w:val="697"/>
    <w:link w:val="672"/>
  </w:style>
  <w:style w:type="character" w:styleId="698">
    <w:name w:val="WW8Num3z8"/>
    <w:next w:val="698"/>
    <w:link w:val="672"/>
  </w:style>
  <w:style w:type="character" w:styleId="699">
    <w:name w:val="WW8Num4z0"/>
    <w:next w:val="699"/>
    <w:link w:val="672"/>
    <w:rPr>
      <w:rFonts w:ascii="Symbol" w:hAnsi="Symbol" w:cs="Symbol"/>
    </w:rPr>
  </w:style>
  <w:style w:type="character" w:styleId="700">
    <w:name w:val="WW8Num4z1"/>
    <w:next w:val="700"/>
    <w:link w:val="672"/>
    <w:rPr>
      <w:rFonts w:ascii="Courier New" w:hAnsi="Courier New" w:cs="Courier New"/>
    </w:rPr>
  </w:style>
  <w:style w:type="character" w:styleId="701">
    <w:name w:val="WW8Num4z2"/>
    <w:next w:val="701"/>
    <w:link w:val="672"/>
    <w:rPr>
      <w:rFonts w:ascii="Wingdings" w:hAnsi="Wingdings" w:cs="Wingdings"/>
    </w:rPr>
  </w:style>
  <w:style w:type="character" w:styleId="702">
    <w:name w:val="WW8Num5z0"/>
    <w:next w:val="702"/>
    <w:link w:val="672"/>
    <w:rPr>
      <w:rFonts w:ascii="Symbol" w:hAnsi="Symbol" w:cs="Symbol"/>
    </w:rPr>
  </w:style>
  <w:style w:type="character" w:styleId="703">
    <w:name w:val="WW8Num5z1"/>
    <w:next w:val="703"/>
    <w:link w:val="672"/>
    <w:rPr>
      <w:rFonts w:ascii="Courier New" w:hAnsi="Courier New" w:cs="Courier New"/>
    </w:rPr>
  </w:style>
  <w:style w:type="character" w:styleId="704">
    <w:name w:val="WW8Num5z2"/>
    <w:next w:val="704"/>
    <w:link w:val="672"/>
    <w:rPr>
      <w:rFonts w:ascii="Wingdings" w:hAnsi="Wingdings" w:cs="Wingdings"/>
    </w:rPr>
  </w:style>
  <w:style w:type="character" w:styleId="705">
    <w:name w:val="Основной шрифт абзаца11"/>
    <w:next w:val="705"/>
    <w:link w:val="672"/>
  </w:style>
  <w:style w:type="character" w:styleId="706">
    <w:name w:val="WW8Num6z0"/>
    <w:next w:val="706"/>
    <w:link w:val="672"/>
    <w:rPr>
      <w:rFonts w:ascii="Symbol" w:hAnsi="Symbol" w:cs="Symbol"/>
      <w:sz w:val="20"/>
    </w:rPr>
  </w:style>
  <w:style w:type="character" w:styleId="707">
    <w:name w:val="WW8Num7z0"/>
    <w:next w:val="707"/>
    <w:link w:val="672"/>
    <w:rPr>
      <w:rFonts w:ascii="Symbol" w:hAnsi="Symbol" w:cs="Symbol"/>
      <w:sz w:val="20"/>
    </w:rPr>
  </w:style>
  <w:style w:type="character" w:styleId="708">
    <w:name w:val="WW8Num7z1"/>
    <w:next w:val="708"/>
    <w:link w:val="672"/>
    <w:rPr>
      <w:rFonts w:ascii="Courier New" w:hAnsi="Courier New" w:cs="Times New Roman"/>
      <w:sz w:val="20"/>
    </w:rPr>
  </w:style>
  <w:style w:type="character" w:styleId="709">
    <w:name w:val="WW8Num7z2"/>
    <w:next w:val="709"/>
    <w:link w:val="672"/>
    <w:rPr>
      <w:rFonts w:ascii="Wingdings" w:hAnsi="Wingdings" w:cs="Wingdings"/>
      <w:sz w:val="20"/>
    </w:rPr>
  </w:style>
  <w:style w:type="character" w:styleId="710">
    <w:name w:val="WW8Num8z0"/>
    <w:next w:val="710"/>
    <w:link w:val="672"/>
    <w:rPr>
      <w:rFonts w:ascii="Symbol" w:hAnsi="Symbol" w:cs="Symbol"/>
    </w:rPr>
  </w:style>
  <w:style w:type="character" w:styleId="711">
    <w:name w:val="WW8Num8z1"/>
    <w:next w:val="711"/>
    <w:link w:val="672"/>
    <w:rPr>
      <w:rFonts w:ascii="Courier New" w:hAnsi="Courier New" w:cs="Courier New"/>
    </w:rPr>
  </w:style>
  <w:style w:type="character" w:styleId="712">
    <w:name w:val="WW8Num8z2"/>
    <w:next w:val="712"/>
    <w:link w:val="672"/>
    <w:rPr>
      <w:rFonts w:ascii="Wingdings" w:hAnsi="Wingdings" w:cs="Wingdings"/>
    </w:rPr>
  </w:style>
  <w:style w:type="character" w:styleId="713">
    <w:name w:val="WW8Num9z0"/>
    <w:next w:val="713"/>
    <w:link w:val="672"/>
    <w:rPr>
      <w:rFonts w:ascii="Symbol" w:hAnsi="Symbol" w:cs="Symbol"/>
    </w:rPr>
  </w:style>
  <w:style w:type="character" w:styleId="714">
    <w:name w:val="WW8Num9z1"/>
    <w:next w:val="714"/>
    <w:link w:val="672"/>
    <w:rPr>
      <w:rFonts w:ascii="Courier New" w:hAnsi="Courier New" w:cs="Courier New"/>
    </w:rPr>
  </w:style>
  <w:style w:type="character" w:styleId="715">
    <w:name w:val="WW8Num9z2"/>
    <w:next w:val="715"/>
    <w:link w:val="672"/>
    <w:rPr>
      <w:rFonts w:ascii="Wingdings" w:hAnsi="Wingdings" w:cs="Wingdings"/>
    </w:rPr>
  </w:style>
  <w:style w:type="character" w:styleId="716">
    <w:name w:val="WW8Num10z0"/>
    <w:next w:val="716"/>
    <w:link w:val="672"/>
    <w:rPr>
      <w:rFonts w:ascii="Symbol" w:hAnsi="Symbol" w:cs="Symbol"/>
      <w:sz w:val="20"/>
    </w:rPr>
  </w:style>
  <w:style w:type="character" w:styleId="717">
    <w:name w:val="WW8Num10z1"/>
    <w:next w:val="717"/>
    <w:link w:val="672"/>
    <w:rPr>
      <w:rFonts w:ascii="Courier New" w:hAnsi="Courier New" w:cs="Times New Roman"/>
      <w:sz w:val="20"/>
    </w:rPr>
  </w:style>
  <w:style w:type="character" w:styleId="718">
    <w:name w:val="WW8Num10z2"/>
    <w:next w:val="718"/>
    <w:link w:val="672"/>
    <w:rPr>
      <w:rFonts w:ascii="Wingdings" w:hAnsi="Wingdings" w:cs="Wingdings"/>
      <w:sz w:val="20"/>
    </w:rPr>
  </w:style>
  <w:style w:type="character" w:styleId="719">
    <w:name w:val="WW8Num11z0"/>
    <w:next w:val="719"/>
    <w:link w:val="672"/>
    <w:rPr>
      <w:rFonts w:ascii="Symbol" w:hAnsi="Symbol" w:cs="Symbol"/>
    </w:rPr>
  </w:style>
  <w:style w:type="character" w:styleId="720">
    <w:name w:val="WW8Num11z1"/>
    <w:next w:val="720"/>
    <w:link w:val="672"/>
    <w:rPr>
      <w:rFonts w:ascii="Courier New" w:hAnsi="Courier New" w:cs="Courier New"/>
    </w:rPr>
  </w:style>
  <w:style w:type="character" w:styleId="721">
    <w:name w:val="WW8Num11z2"/>
    <w:next w:val="721"/>
    <w:link w:val="672"/>
    <w:rPr>
      <w:rFonts w:ascii="Wingdings" w:hAnsi="Wingdings" w:cs="Wingdings"/>
    </w:rPr>
  </w:style>
  <w:style w:type="character" w:styleId="722">
    <w:name w:val="WW8Num12z0"/>
    <w:next w:val="722"/>
    <w:link w:val="672"/>
    <w:rPr>
      <w:rFonts w:ascii="Symbol" w:hAnsi="Symbol" w:cs="Symbol"/>
      <w:sz w:val="20"/>
    </w:rPr>
  </w:style>
  <w:style w:type="character" w:styleId="723">
    <w:name w:val="WW8Num12z1"/>
    <w:next w:val="723"/>
    <w:link w:val="672"/>
    <w:rPr>
      <w:rFonts w:ascii="Courier New" w:hAnsi="Courier New" w:cs="Times New Roman"/>
      <w:sz w:val="20"/>
    </w:rPr>
  </w:style>
  <w:style w:type="character" w:styleId="724">
    <w:name w:val="WW8Num12z2"/>
    <w:next w:val="724"/>
    <w:link w:val="672"/>
    <w:rPr>
      <w:rFonts w:ascii="Wingdings" w:hAnsi="Wingdings" w:cs="Wingdings"/>
      <w:sz w:val="20"/>
    </w:rPr>
  </w:style>
  <w:style w:type="character" w:styleId="725">
    <w:name w:val="WW8Num13z0"/>
    <w:next w:val="725"/>
    <w:link w:val="672"/>
  </w:style>
  <w:style w:type="character" w:styleId="726">
    <w:name w:val="Основной шрифт абзаца10"/>
    <w:next w:val="726"/>
    <w:link w:val="672"/>
  </w:style>
  <w:style w:type="character" w:styleId="727">
    <w:name w:val="Основной шрифт абзаца9"/>
    <w:next w:val="727"/>
    <w:link w:val="672"/>
  </w:style>
  <w:style w:type="character" w:styleId="728">
    <w:name w:val="Основной шрифт абзаца8"/>
    <w:next w:val="728"/>
    <w:link w:val="672"/>
  </w:style>
  <w:style w:type="character" w:styleId="729">
    <w:name w:val="Основной шрифт абзаца7"/>
    <w:next w:val="729"/>
    <w:link w:val="672"/>
  </w:style>
  <w:style w:type="character" w:styleId="730">
    <w:name w:val="Основной шрифт абзаца6"/>
    <w:next w:val="730"/>
    <w:link w:val="672"/>
  </w:style>
  <w:style w:type="character" w:styleId="731">
    <w:name w:val="Основной шрифт абзаца5"/>
    <w:next w:val="731"/>
    <w:link w:val="672"/>
  </w:style>
  <w:style w:type="character" w:styleId="732">
    <w:name w:val="Основной шрифт абзаца4"/>
    <w:next w:val="732"/>
    <w:link w:val="672"/>
  </w:style>
  <w:style w:type="character" w:styleId="733">
    <w:name w:val="Основной шрифт абзаца3"/>
    <w:next w:val="733"/>
    <w:link w:val="672"/>
  </w:style>
  <w:style w:type="character" w:styleId="734">
    <w:name w:val="Основной шрифт абзаца2"/>
    <w:next w:val="734"/>
    <w:link w:val="672"/>
  </w:style>
  <w:style w:type="character" w:styleId="735">
    <w:name w:val="Основной шрифт абзаца1"/>
    <w:next w:val="735"/>
    <w:link w:val="672"/>
  </w:style>
  <w:style w:type="character" w:styleId="736">
    <w:name w:val="Гиперссылка"/>
    <w:next w:val="736"/>
    <w:link w:val="672"/>
    <w:uiPriority w:val="99"/>
    <w:rPr>
      <w:u w:val="single"/>
    </w:rPr>
  </w:style>
  <w:style w:type="character" w:styleId="737">
    <w:name w:val="Нет"/>
    <w:next w:val="737"/>
    <w:link w:val="672"/>
  </w:style>
  <w:style w:type="character" w:styleId="738">
    <w:name w:val="Выделение"/>
    <w:next w:val="738"/>
    <w:link w:val="672"/>
    <w:uiPriority w:val="20"/>
    <w:qFormat/>
    <w:rPr>
      <w:i/>
      <w:iCs/>
    </w:rPr>
  </w:style>
  <w:style w:type="character" w:styleId="739">
    <w:name w:val="Основной текст (2)_"/>
    <w:next w:val="739"/>
    <w:link w:val="672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styleId="740">
    <w:name w:val="Строгий"/>
    <w:next w:val="740"/>
    <w:link w:val="672"/>
    <w:uiPriority w:val="22"/>
    <w:qFormat/>
    <w:rPr>
      <w:b/>
      <w:bCs/>
    </w:rPr>
  </w:style>
  <w:style w:type="character" w:styleId="741">
    <w:name w:val="Знак примечания1"/>
    <w:next w:val="741"/>
    <w:link w:val="672"/>
    <w:rPr>
      <w:sz w:val="16"/>
      <w:szCs w:val="16"/>
    </w:rPr>
  </w:style>
  <w:style w:type="character" w:styleId="742">
    <w:name w:val="Текст примечания Знак"/>
    <w:next w:val="742"/>
    <w:link w:val="672"/>
    <w:rPr>
      <w:rFonts w:eastAsia="Arial Unicode MS" w:cs="Arial Unicode MS"/>
      <w:color w:val="000000"/>
      <w:lang w:eastAsia="zh-CN"/>
    </w:rPr>
  </w:style>
  <w:style w:type="character" w:styleId="743">
    <w:name w:val="Тема примечания Знак"/>
    <w:next w:val="743"/>
    <w:link w:val="672"/>
    <w:rPr>
      <w:rFonts w:eastAsia="Arial Unicode MS" w:cs="Arial Unicode MS"/>
      <w:b/>
      <w:bCs/>
      <w:color w:val="000000"/>
      <w:lang w:eastAsia="zh-CN"/>
    </w:rPr>
  </w:style>
  <w:style w:type="character" w:styleId="744">
    <w:name w:val="Текст выноски Знак"/>
    <w:next w:val="744"/>
    <w:link w:val="672"/>
    <w:rPr>
      <w:rFonts w:ascii="Segoe UI" w:hAnsi="Segoe UI" w:eastAsia="Arial Unicode MS" w:cs="Segoe UI"/>
      <w:color w:val="000000"/>
      <w:sz w:val="18"/>
      <w:szCs w:val="18"/>
      <w:lang w:eastAsia="zh-CN"/>
    </w:rPr>
  </w:style>
  <w:style w:type="character" w:styleId="745">
    <w:name w:val="Знак примечания2"/>
    <w:next w:val="745"/>
    <w:link w:val="672"/>
    <w:rPr>
      <w:sz w:val="16"/>
      <w:szCs w:val="16"/>
    </w:rPr>
  </w:style>
  <w:style w:type="character" w:styleId="746">
    <w:name w:val="Текст примечания Знак1"/>
    <w:next w:val="746"/>
    <w:link w:val="672"/>
    <w:rPr>
      <w:rFonts w:eastAsia="Arial Unicode MS" w:cs="Arial Unicode MS"/>
      <w:color w:val="000000"/>
      <w:lang w:eastAsia="zh-CN"/>
    </w:rPr>
  </w:style>
  <w:style w:type="character" w:styleId="747">
    <w:name w:val="article_layer__header_date_published"/>
    <w:next w:val="747"/>
    <w:link w:val="672"/>
  </w:style>
  <w:style w:type="character" w:styleId="748">
    <w:name w:val="article_layer__stat_btn"/>
    <w:next w:val="748"/>
    <w:link w:val="672"/>
  </w:style>
  <w:style w:type="character" w:styleId="749">
    <w:name w:val="Основной текст (5)"/>
    <w:next w:val="749"/>
    <w:link w:val="672"/>
    <w:rPr>
      <w:rFonts w:ascii="Times New Roman" w:hAnsi="Times New Roman" w:cs="Times New Roman"/>
      <w:spacing w:val="0"/>
      <w:sz w:val="27"/>
      <w:szCs w:val="27"/>
    </w:rPr>
  </w:style>
  <w:style w:type="character" w:styleId="750">
    <w:name w:val="Текст концевой сноски Знак"/>
    <w:next w:val="750"/>
    <w:link w:val="672"/>
    <w:rPr>
      <w:rFonts w:eastAsia="Arial Unicode MS" w:cs="Arial Unicode MS"/>
      <w:color w:val="000000"/>
      <w:lang w:eastAsia="zh-CN"/>
    </w:rPr>
  </w:style>
  <w:style w:type="character" w:styleId="751">
    <w:name w:val="Символ концевой сноски"/>
    <w:next w:val="751"/>
    <w:link w:val="672"/>
    <w:rPr>
      <w:vertAlign w:val="superscript"/>
    </w:rPr>
  </w:style>
  <w:style w:type="paragraph" w:styleId="752">
    <w:name w:val="Заголовок1"/>
    <w:basedOn w:val="672"/>
    <w:next w:val="753"/>
    <w:link w:val="672"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753">
    <w:name w:val="Основной текст"/>
    <w:basedOn w:val="672"/>
    <w:next w:val="753"/>
    <w:link w:val="672"/>
    <w:pPr>
      <w:spacing w:before="0" w:after="140" w:line="276" w:lineRule="auto"/>
    </w:pPr>
  </w:style>
  <w:style w:type="paragraph" w:styleId="754">
    <w:name w:val="Список"/>
    <w:basedOn w:val="753"/>
    <w:next w:val="754"/>
    <w:link w:val="672"/>
    <w:rPr>
      <w:rFonts w:ascii="PT Sans" w:hAnsi="PT Sans" w:cs="Noto Sans Devanagari"/>
    </w:rPr>
  </w:style>
  <w:style w:type="paragraph" w:styleId="755">
    <w:name w:val="Название объекта"/>
    <w:basedOn w:val="672"/>
    <w:next w:val="755"/>
    <w:link w:val="672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56">
    <w:name w:val="Указатель13"/>
    <w:basedOn w:val="672"/>
    <w:next w:val="756"/>
    <w:link w:val="672"/>
    <w:pPr>
      <w:suppressLineNumbers/>
    </w:pPr>
    <w:rPr>
      <w:rFonts w:cs="Mangal"/>
      <w:lang w:val="en-US" w:eastAsia="en-US" w:bidi="en-US"/>
    </w:rPr>
  </w:style>
  <w:style w:type="paragraph" w:styleId="757">
    <w:name w:val="Название объекта12"/>
    <w:basedOn w:val="672"/>
    <w:next w:val="757"/>
    <w:link w:val="672"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758">
    <w:name w:val="Указатель12"/>
    <w:basedOn w:val="672"/>
    <w:next w:val="758"/>
    <w:link w:val="672"/>
    <w:pPr>
      <w:suppressLineNumbers/>
    </w:pPr>
    <w:rPr>
      <w:rFonts w:ascii="PT Sans" w:hAnsi="PT Sans" w:cs="Noto Sans Devanagari"/>
    </w:rPr>
  </w:style>
  <w:style w:type="paragraph" w:styleId="759">
    <w:name w:val="Название объекта11"/>
    <w:basedOn w:val="672"/>
    <w:next w:val="759"/>
    <w:link w:val="672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760">
    <w:name w:val="Указатель11"/>
    <w:basedOn w:val="672"/>
    <w:next w:val="760"/>
    <w:link w:val="672"/>
    <w:pPr>
      <w:suppressLineNumbers/>
    </w:pPr>
    <w:rPr>
      <w:rFonts w:ascii="PT Astra Serif" w:hAnsi="PT Astra Serif" w:cs="Noto Sans Devanagari"/>
    </w:rPr>
  </w:style>
  <w:style w:type="paragraph" w:styleId="761">
    <w:name w:val="Название объекта10"/>
    <w:basedOn w:val="672"/>
    <w:next w:val="761"/>
    <w:link w:val="672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762">
    <w:name w:val="Указатель10"/>
    <w:basedOn w:val="672"/>
    <w:next w:val="762"/>
    <w:link w:val="672"/>
    <w:pPr>
      <w:suppressLineNumbers/>
    </w:pPr>
    <w:rPr>
      <w:rFonts w:cs="Arial"/>
    </w:rPr>
  </w:style>
  <w:style w:type="paragraph" w:styleId="763">
    <w:name w:val="Название объекта9"/>
    <w:basedOn w:val="672"/>
    <w:next w:val="763"/>
    <w:link w:val="672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764">
    <w:name w:val="Указатель9"/>
    <w:basedOn w:val="672"/>
    <w:next w:val="764"/>
    <w:link w:val="672"/>
    <w:pPr>
      <w:suppressLineNumbers/>
    </w:pPr>
    <w:rPr>
      <w:rFonts w:cs="Lucida Sans"/>
    </w:rPr>
  </w:style>
  <w:style w:type="paragraph" w:styleId="765">
    <w:name w:val="Название объекта8"/>
    <w:basedOn w:val="672"/>
    <w:next w:val="765"/>
    <w:link w:val="672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766">
    <w:name w:val="Указатель8"/>
    <w:basedOn w:val="672"/>
    <w:next w:val="766"/>
    <w:link w:val="672"/>
    <w:pPr>
      <w:suppressLineNumbers/>
    </w:pPr>
    <w:rPr>
      <w:rFonts w:cs="Arial"/>
    </w:rPr>
  </w:style>
  <w:style w:type="paragraph" w:styleId="767">
    <w:name w:val="Название объекта7"/>
    <w:basedOn w:val="672"/>
    <w:next w:val="767"/>
    <w:link w:val="672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768">
    <w:name w:val="Указатель7"/>
    <w:basedOn w:val="672"/>
    <w:next w:val="768"/>
    <w:link w:val="672"/>
    <w:pPr>
      <w:suppressLineNumbers/>
    </w:pPr>
    <w:rPr>
      <w:rFonts w:cs="Lucida Sans"/>
    </w:rPr>
  </w:style>
  <w:style w:type="paragraph" w:styleId="769">
    <w:name w:val="Название объекта6"/>
    <w:basedOn w:val="672"/>
    <w:next w:val="769"/>
    <w:link w:val="672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770">
    <w:name w:val="Указатель6"/>
    <w:basedOn w:val="672"/>
    <w:next w:val="770"/>
    <w:link w:val="672"/>
    <w:pPr>
      <w:suppressLineNumbers/>
    </w:pPr>
    <w:rPr>
      <w:rFonts w:cs="Lucida Sans"/>
    </w:rPr>
  </w:style>
  <w:style w:type="paragraph" w:styleId="771">
    <w:name w:val="Название объекта5"/>
    <w:basedOn w:val="672"/>
    <w:next w:val="771"/>
    <w:link w:val="672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772">
    <w:name w:val="Указатель5"/>
    <w:basedOn w:val="672"/>
    <w:next w:val="772"/>
    <w:link w:val="672"/>
    <w:pPr>
      <w:suppressLineNumbers/>
    </w:pPr>
    <w:rPr>
      <w:rFonts w:cs="Lucida Sans"/>
    </w:rPr>
  </w:style>
  <w:style w:type="paragraph" w:styleId="773">
    <w:name w:val="Название объекта4"/>
    <w:basedOn w:val="672"/>
    <w:next w:val="773"/>
    <w:link w:val="672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774">
    <w:name w:val="Указатель4"/>
    <w:basedOn w:val="672"/>
    <w:next w:val="774"/>
    <w:link w:val="672"/>
    <w:pPr>
      <w:suppressLineNumbers/>
    </w:pPr>
    <w:rPr>
      <w:rFonts w:cs="Lucida Sans"/>
    </w:rPr>
  </w:style>
  <w:style w:type="paragraph" w:styleId="775">
    <w:name w:val="Название объекта3"/>
    <w:basedOn w:val="672"/>
    <w:next w:val="775"/>
    <w:link w:val="672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776">
    <w:name w:val="Указатель3"/>
    <w:basedOn w:val="672"/>
    <w:next w:val="776"/>
    <w:link w:val="672"/>
    <w:pPr>
      <w:suppressLineNumbers/>
    </w:pPr>
    <w:rPr>
      <w:rFonts w:cs="Lucida Sans"/>
    </w:rPr>
  </w:style>
  <w:style w:type="paragraph" w:styleId="777">
    <w:name w:val="Название объекта2"/>
    <w:basedOn w:val="672"/>
    <w:next w:val="777"/>
    <w:link w:val="672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778">
    <w:name w:val="Указатель2"/>
    <w:basedOn w:val="672"/>
    <w:next w:val="778"/>
    <w:link w:val="672"/>
    <w:pPr>
      <w:suppressLineNumbers/>
    </w:pPr>
    <w:rPr>
      <w:rFonts w:cs="Lucida Sans"/>
    </w:rPr>
  </w:style>
  <w:style w:type="paragraph" w:styleId="779">
    <w:name w:val="Название объекта1"/>
    <w:basedOn w:val="672"/>
    <w:next w:val="779"/>
    <w:link w:val="672"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780">
    <w:name w:val="Указатель1"/>
    <w:basedOn w:val="672"/>
    <w:next w:val="780"/>
    <w:link w:val="672"/>
    <w:pPr>
      <w:suppressLineNumbers/>
    </w:pPr>
    <w:rPr>
      <w:rFonts w:ascii="PT Sans" w:hAnsi="PT Sans" w:cs="Noto Sans Devanagari"/>
    </w:rPr>
  </w:style>
  <w:style w:type="paragraph" w:styleId="781">
    <w:name w:val="Верхн./нижн. кол."/>
    <w:next w:val="781"/>
    <w:link w:val="672"/>
    <w:pPr>
      <w:tabs>
        <w:tab w:val="right" w:pos="9020" w:leader="none"/>
      </w:tabs>
    </w:pPr>
    <w:rPr>
      <w:rFonts w:ascii="Helvetica Neue" w:hAnsi="Helvetica Neue" w:eastAsia="Arial Unicode MS" w:cs="Arial Unicode MS"/>
      <w:color w:val="000000"/>
      <w:sz w:val="24"/>
      <w:szCs w:val="24"/>
      <w:lang w:val="ru-RU" w:eastAsia="zh-CN" w:bidi="ar-SA"/>
    </w:rPr>
  </w:style>
  <w:style w:type="paragraph" w:styleId="782">
    <w:name w:val="Body Text"/>
    <w:next w:val="782"/>
    <w:link w:val="672"/>
    <w:pPr>
      <w:spacing w:after="140" w:line="288" w:lineRule="auto"/>
    </w:pPr>
    <w:rPr>
      <w:color w:val="000000"/>
      <w:sz w:val="24"/>
      <w:szCs w:val="24"/>
      <w:lang w:val="ru-RU" w:eastAsia="zh-CN" w:bidi="ar-SA"/>
    </w:rPr>
  </w:style>
  <w:style w:type="paragraph" w:styleId="783">
    <w:name w:val="Обычный (веб)1"/>
    <w:next w:val="783"/>
    <w:link w:val="672"/>
    <w:pPr>
      <w:spacing w:after="96" w:line="252" w:lineRule="auto"/>
    </w:pPr>
    <w:rPr>
      <w:rFonts w:ascii="Calibri" w:hAnsi="Calibri" w:eastAsia="Calibri" w:cs="Calibri"/>
      <w:color w:val="00000a"/>
      <w:sz w:val="22"/>
      <w:szCs w:val="22"/>
      <w:lang w:val="ru-RU" w:eastAsia="zh-CN" w:bidi="ar-SA"/>
    </w:rPr>
  </w:style>
  <w:style w:type="paragraph" w:styleId="784">
    <w:name w:val="Верхний и нижний колонтитулы"/>
    <w:basedOn w:val="672"/>
    <w:next w:val="784"/>
    <w:link w:val="672"/>
    <w:pPr>
      <w:tabs>
        <w:tab w:val="center" w:pos="4819" w:leader="none"/>
        <w:tab w:val="right" w:pos="9638" w:leader="none"/>
      </w:tabs>
      <w:suppressLineNumbers/>
    </w:pPr>
  </w:style>
  <w:style w:type="paragraph" w:styleId="785">
    <w:name w:val="Колонтитул"/>
    <w:basedOn w:val="672"/>
    <w:next w:val="785"/>
    <w:link w:val="672"/>
    <w:pPr>
      <w:tabs>
        <w:tab w:val="center" w:pos="4819" w:leader="none"/>
        <w:tab w:val="right" w:pos="9638" w:leader="none"/>
      </w:tabs>
      <w:suppressLineNumbers/>
    </w:pPr>
  </w:style>
  <w:style w:type="paragraph" w:styleId="786">
    <w:name w:val="Нижний колонтитул"/>
    <w:basedOn w:val="784"/>
    <w:next w:val="786"/>
    <w:link w:val="672"/>
    <w:pPr>
      <w:suppressLineNumbers/>
    </w:pPr>
  </w:style>
  <w:style w:type="paragraph" w:styleId="787">
    <w:name w:val="Верхний колонтитул"/>
    <w:basedOn w:val="784"/>
    <w:next w:val="787"/>
    <w:link w:val="672"/>
    <w:pPr>
      <w:suppressLineNumbers/>
    </w:pPr>
  </w:style>
  <w:style w:type="paragraph" w:styleId="788">
    <w:name w:val="Абзац списка"/>
    <w:basedOn w:val="672"/>
    <w:next w:val="788"/>
    <w:link w:val="672"/>
    <w:qFormat/>
    <w:pPr>
      <w:contextualSpacing/>
      <w:ind w:left="720" w:right="0" w:firstLine="0"/>
      <w:spacing w:before="0" w:after="160" w:line="252" w:lineRule="auto"/>
    </w:pPr>
    <w:rPr>
      <w:rFonts w:ascii="Calibri" w:hAnsi="Calibri" w:eastAsia="Calibri" w:cs="Times New Roman"/>
      <w:color w:val="000000"/>
      <w:sz w:val="22"/>
      <w:szCs w:val="22"/>
    </w:rPr>
  </w:style>
  <w:style w:type="paragraph" w:styleId="789">
    <w:name w:val="western"/>
    <w:basedOn w:val="672"/>
    <w:next w:val="789"/>
    <w:link w:val="672"/>
    <w:pPr>
      <w:spacing w:before="100" w:after="142" w:line="288" w:lineRule="auto"/>
    </w:pPr>
    <w:rPr>
      <w:rFonts w:eastAsia="Times New Roman" w:cs="Times New Roman"/>
      <w:color w:val="00000a"/>
    </w:rPr>
  </w:style>
  <w:style w:type="paragraph" w:styleId="790">
    <w:name w:val="Текст примечания1"/>
    <w:basedOn w:val="672"/>
    <w:next w:val="790"/>
    <w:link w:val="672"/>
    <w:rPr>
      <w:rFonts w:cs="Times New Roman"/>
      <w:sz w:val="20"/>
      <w:szCs w:val="20"/>
      <w:lang w:val="en-US"/>
    </w:rPr>
  </w:style>
  <w:style w:type="paragraph" w:styleId="791">
    <w:name w:val="Тема примечания"/>
    <w:basedOn w:val="790"/>
    <w:next w:val="790"/>
    <w:link w:val="672"/>
    <w:rPr>
      <w:b/>
      <w:bCs/>
    </w:rPr>
  </w:style>
  <w:style w:type="paragraph" w:styleId="792">
    <w:name w:val="Текст выноски"/>
    <w:basedOn w:val="672"/>
    <w:next w:val="792"/>
    <w:link w:val="672"/>
    <w:rPr>
      <w:rFonts w:ascii="Segoe UI" w:hAnsi="Segoe UI" w:cs="Times New Roman"/>
      <w:sz w:val="18"/>
      <w:szCs w:val="18"/>
      <w:lang w:val="en-US"/>
    </w:rPr>
  </w:style>
  <w:style w:type="paragraph" w:styleId="793">
    <w:name w:val="Без интервала1"/>
    <w:next w:val="793"/>
    <w:link w:val="672"/>
    <w:rPr>
      <w:rFonts w:ascii="Calibri" w:hAnsi="Calibri" w:cs="Calibri"/>
      <w:sz w:val="22"/>
      <w:szCs w:val="22"/>
      <w:lang w:val="ru-RU" w:eastAsia="zh-CN" w:bidi="ar-SA"/>
    </w:rPr>
  </w:style>
  <w:style w:type="paragraph" w:styleId="794">
    <w:name w:val="ConsPlusNormal"/>
    <w:next w:val="794"/>
    <w:link w:val="672"/>
    <w:pPr>
      <w:widowControl w:val="off"/>
    </w:pPr>
    <w:rPr>
      <w:rFonts w:ascii="Calibri" w:hAnsi="Calibri" w:cs="Calibri"/>
      <w:sz w:val="22"/>
      <w:lang w:val="ru-RU" w:eastAsia="zh-CN" w:bidi="ar-SA"/>
    </w:rPr>
  </w:style>
  <w:style w:type="paragraph" w:styleId="795">
    <w:name w:val="Default"/>
    <w:next w:val="795"/>
    <w:link w:val="672"/>
    <w:rPr>
      <w:rFonts w:ascii="Golos" w:hAnsi="Golos" w:cs="Golos"/>
      <w:color w:val="000000"/>
      <w:sz w:val="24"/>
      <w:szCs w:val="24"/>
      <w:lang w:val="ru-RU" w:eastAsia="zh-CN" w:bidi="ar-SA"/>
    </w:rPr>
  </w:style>
  <w:style w:type="paragraph" w:styleId="796">
    <w:name w:val="Standard"/>
    <w:next w:val="796"/>
    <w:link w:val="672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zh-CN" w:bidi="ar-SA"/>
    </w:rPr>
  </w:style>
  <w:style w:type="paragraph" w:styleId="797">
    <w:name w:val="Text body"/>
    <w:basedOn w:val="796"/>
    <w:next w:val="797"/>
    <w:link w:val="672"/>
    <w:pPr>
      <w:jc w:val="both"/>
      <w:spacing w:before="0" w:after="0" w:line="240" w:lineRule="auto"/>
      <w:widowControl w:val="off"/>
    </w:pPr>
    <w:rPr>
      <w:rFonts w:ascii="PT Astra Serif" w:hAnsi="PT Astra Serif" w:eastAsia="Source Han Sans CN Regular" w:cs="PT Astra Serif"/>
      <w:sz w:val="28"/>
      <w:szCs w:val="24"/>
    </w:rPr>
  </w:style>
  <w:style w:type="paragraph" w:styleId="798">
    <w:name w:val="Обычный (веб)"/>
    <w:basedOn w:val="672"/>
    <w:next w:val="798"/>
    <w:link w:val="672"/>
    <w:uiPriority w:val="99"/>
    <w:pPr>
      <w:spacing w:before="100" w:after="100"/>
    </w:pPr>
    <w:rPr>
      <w:rFonts w:eastAsia="Times New Roman" w:cs="Times New Roman"/>
      <w:color w:val="000000"/>
    </w:rPr>
  </w:style>
  <w:style w:type="paragraph" w:styleId="799">
    <w:name w:val="Текст примечания2"/>
    <w:basedOn w:val="672"/>
    <w:next w:val="799"/>
    <w:link w:val="672"/>
    <w:rPr>
      <w:rFonts w:cs="Times New Roman"/>
      <w:sz w:val="20"/>
      <w:szCs w:val="20"/>
      <w:lang w:val="en-US"/>
    </w:rPr>
  </w:style>
  <w:style w:type="paragraph" w:styleId="800">
    <w:name w:val="Содержимое таблицы"/>
    <w:basedOn w:val="672"/>
    <w:next w:val="800"/>
    <w:link w:val="672"/>
    <w:pPr>
      <w:widowControl w:val="off"/>
      <w:suppressLineNumbers/>
    </w:pPr>
    <w:rPr>
      <w:rFonts w:ascii="Liberation Serif" w:hAnsi="Liberation Serif" w:cs="Mangal"/>
      <w:color w:val="00000a"/>
      <w:lang w:bidi="hi-IN"/>
    </w:rPr>
  </w:style>
  <w:style w:type="paragraph" w:styleId="801">
    <w:name w:val="Текст концевой сноски"/>
    <w:basedOn w:val="672"/>
    <w:next w:val="801"/>
    <w:link w:val="672"/>
    <w:rPr>
      <w:rFonts w:cs="Times New Roman"/>
      <w:sz w:val="20"/>
      <w:szCs w:val="20"/>
      <w:lang w:val="en-US"/>
    </w:rPr>
  </w:style>
  <w:style w:type="paragraph" w:styleId="802">
    <w:name w:val="Основной текст с отступом 31"/>
    <w:basedOn w:val="672"/>
    <w:next w:val="802"/>
    <w:link w:val="672"/>
    <w:pPr>
      <w:ind w:left="283" w:right="0" w:firstLine="0"/>
      <w:spacing w:before="0" w:after="120"/>
    </w:pPr>
    <w:rPr>
      <w:rFonts w:eastAsia="Times New Roman" w:cs="Times New Roman"/>
      <w:color w:val="000000"/>
      <w:sz w:val="16"/>
      <w:szCs w:val="16"/>
    </w:rPr>
  </w:style>
  <w:style w:type="paragraph" w:styleId="803">
    <w:name w:val="no-indent"/>
    <w:basedOn w:val="672"/>
    <w:next w:val="803"/>
    <w:link w:val="672"/>
    <w:pPr>
      <w:spacing w:before="100" w:beforeAutospacing="1" w:after="100" w:afterAutospacing="1"/>
    </w:pPr>
  </w:style>
  <w:style w:type="character" w:styleId="1010" w:default="1">
    <w:name w:val="Default Paragraph Font"/>
    <w:uiPriority w:val="1"/>
    <w:semiHidden/>
    <w:unhideWhenUsed/>
  </w:style>
  <w:style w:type="numbering" w:styleId="1011" w:default="1">
    <w:name w:val="No List"/>
    <w:uiPriority w:val="99"/>
    <w:semiHidden/>
    <w:unhideWhenUsed/>
  </w:style>
  <w:style w:type="table" w:styleId="101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"Земельный кодекс Российской Федерации" от 25.10.2001 N 136-ФЗ(ред. от 14.07.2022)</dc:title>
  <dc:creator>Dobriy</dc:creator>
  <cp:revision>67</cp:revision>
  <dcterms:created xsi:type="dcterms:W3CDTF">2024-08-16T10:03:00Z</dcterms:created>
  <dcterms:modified xsi:type="dcterms:W3CDTF">2025-01-21T10:38:39Z</dcterms:modified>
  <cp:version>983040</cp:version>
</cp:coreProperties>
</file>