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ind w:left="0" w:firstLine="709"/>
        <w:jc w:val="center"/>
        <w:spacing w:after="0" w:line="276" w:lineRule="auto"/>
        <w:rPr>
          <w:rFonts w:ascii="Times New Roman" w:hAnsi="Times New Roman"/>
          <w:b/>
          <w:bCs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Областным государственным бюджетным учреждением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«Государственная кадастровая оценка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по Челябинской области»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проведена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государственная кадастровая оценка всех </w:t>
      </w:r>
      <w:r>
        <w:rPr>
          <w:rFonts w:ascii="Times New Roman" w:hAnsi="Times New Roman"/>
          <w:b/>
          <w:bCs/>
          <w:i/>
          <w:iCs/>
          <w:sz w:val="28"/>
          <w:szCs w:val="28"/>
          <w:highlight w:val="none"/>
        </w:rPr>
        <w:t xml:space="preserve">земельных участков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, расположенных на территории Челябинской области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В </w:t>
      </w:r>
      <w:r>
        <w:rPr>
          <w:rFonts w:ascii="Times New Roman" w:hAnsi="Times New Roman"/>
          <w:sz w:val="27"/>
          <w:szCs w:val="27"/>
          <w:highlight w:val="none"/>
        </w:rPr>
        <w:t xml:space="preserve">2026 году </w:t>
      </w:r>
      <w:r>
        <w:rPr>
          <w:rFonts w:ascii="Times New Roman" w:hAnsi="Times New Roman"/>
          <w:sz w:val="27"/>
          <w:szCs w:val="27"/>
          <w:highlight w:val="none"/>
        </w:rPr>
        <w:t xml:space="preserve">на основании приказа Министерства имущества Челябинской области от 02.04.2025 № 44-П</w:t>
      </w:r>
      <w:r>
        <w:rPr>
          <w:rFonts w:ascii="Times New Roman" w:hAnsi="Times New Roman"/>
          <w:sz w:val="27"/>
          <w:szCs w:val="27"/>
          <w:highlight w:val="none"/>
        </w:rPr>
        <w:t xml:space="preserve"> о</w:t>
      </w:r>
      <w:r>
        <w:rPr>
          <w:rFonts w:ascii="Times New Roman" w:hAnsi="Times New Roman"/>
          <w:sz w:val="27"/>
          <w:szCs w:val="27"/>
          <w:highlight w:val="none"/>
        </w:rPr>
        <w:t xml:space="preserve">бластным государственным бюджетным учреждением </w:t>
      </w:r>
      <w:r>
        <w:rPr>
          <w:rFonts w:ascii="Times New Roman" w:hAnsi="Times New Roman"/>
          <w:sz w:val="27"/>
          <w:szCs w:val="27"/>
          <w:highlight w:val="none"/>
        </w:rPr>
        <w:t xml:space="preserve">«Государственная кадастровая оценка </w:t>
      </w:r>
      <w:r>
        <w:rPr>
          <w:rFonts w:ascii="Times New Roman" w:hAnsi="Times New Roman"/>
          <w:sz w:val="27"/>
          <w:szCs w:val="27"/>
          <w:highlight w:val="none"/>
        </w:rPr>
        <w:t xml:space="preserve">по Челябинской области»</w:t>
      </w:r>
      <w:r>
        <w:rPr>
          <w:rFonts w:ascii="Times New Roman" w:hAnsi="Times New Roman"/>
          <w:sz w:val="27"/>
          <w:szCs w:val="27"/>
          <w:highlight w:val="none"/>
        </w:rPr>
        <w:t xml:space="preserve"> (далее – бюджетное учреждение) </w:t>
      </w:r>
      <w:r>
        <w:rPr>
          <w:rFonts w:ascii="Times New Roman" w:hAnsi="Times New Roman"/>
          <w:sz w:val="27"/>
          <w:szCs w:val="27"/>
          <w:highlight w:val="none"/>
        </w:rPr>
        <w:t xml:space="preserve">проведена </w:t>
      </w:r>
      <w:r>
        <w:rPr>
          <w:rFonts w:ascii="Times New Roman" w:hAnsi="Times New Roman"/>
          <w:sz w:val="27"/>
          <w:szCs w:val="27"/>
          <w:highlight w:val="none"/>
        </w:rPr>
        <w:t xml:space="preserve">государственная кадастровая оценка (ГКО) всех </w:t>
      </w:r>
      <w:r>
        <w:rPr>
          <w:rFonts w:ascii="Times New Roman" w:hAnsi="Times New Roman"/>
          <w:i/>
          <w:iCs/>
          <w:sz w:val="27"/>
          <w:szCs w:val="27"/>
          <w:highlight w:val="none"/>
        </w:rPr>
        <w:t xml:space="preserve">земельных участков</w:t>
      </w:r>
      <w:r>
        <w:rPr>
          <w:rFonts w:ascii="Times New Roman" w:hAnsi="Times New Roman"/>
          <w:sz w:val="27"/>
          <w:szCs w:val="27"/>
          <w:highlight w:val="none"/>
        </w:rPr>
        <w:t xml:space="preserve">, расположенных на территории Челябинской области.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Сведения о новой кадастровой стоимости содержатся в проекте отчета «Об итогах государственной кадастровой оценки всех учтенных в ЕГРН земельных участков, расположенных на территории Челябинской области по состоянию на 01.01.2026» № 01-2026 от 20.07.2026.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Проект отчета опубликован в фонде данных госуда</w:t>
      </w:r>
      <w:r>
        <w:rPr>
          <w:rFonts w:ascii="Times New Roman" w:hAnsi="Times New Roman"/>
          <w:sz w:val="27"/>
          <w:szCs w:val="27"/>
          <w:highlight w:val="none"/>
        </w:rPr>
        <w:t xml:space="preserve">рственной кадастровой оценки в НСПД 19.08.2026. </w:t>
      </w:r>
      <w:r>
        <w:rPr>
          <w:rFonts w:ascii="Times New Roman" w:hAnsi="Times New Roman"/>
          <w:sz w:val="27"/>
          <w:szCs w:val="27"/>
          <w:highlight w:val="none"/>
        </w:rPr>
        <w:t xml:space="preserve">В течение 30 календарных дней со дня опубликования любые заинтересованные лица могут ознакомиться с </w:t>
      </w:r>
      <w:r>
        <w:rPr>
          <w:rFonts w:ascii="Times New Roman" w:hAnsi="Times New Roman"/>
          <w:sz w:val="27"/>
          <w:szCs w:val="27"/>
          <w:highlight w:val="none"/>
        </w:rPr>
        <w:t xml:space="preserve">проектом отчета</w:t>
      </w:r>
      <w:r>
        <w:rPr>
          <w:rFonts w:ascii="Times New Roman" w:hAnsi="Times New Roman"/>
          <w:sz w:val="27"/>
          <w:szCs w:val="27"/>
          <w:highlight w:val="none"/>
        </w:rPr>
        <w:t xml:space="preserve">, размещенном</w:t>
      </w:r>
      <w:r>
        <w:rPr>
          <w:rFonts w:ascii="Times New Roman" w:hAnsi="Times New Roman"/>
          <w:sz w:val="27"/>
          <w:szCs w:val="27"/>
          <w:highlight w:val="none"/>
        </w:rPr>
        <w:t xml:space="preserve"> на официальном сайте бюджетного учреждения по ссылке: http://gko74.ru</w:t>
      </w:r>
      <w:r>
        <w:rPr>
          <w:rFonts w:ascii="Times New Roman" w:hAnsi="Times New Roman"/>
          <w:sz w:val="27"/>
          <w:szCs w:val="27"/>
          <w:highlight w:val="none"/>
        </w:rPr>
        <w:t xml:space="preserve">/otchety/proekty-otchetov/</w:t>
      </w:r>
      <w:r>
        <w:rPr>
          <w:rFonts w:ascii="Times New Roman" w:hAnsi="Times New Roman"/>
          <w:sz w:val="27"/>
          <w:szCs w:val="27"/>
          <w:highlight w:val="none"/>
        </w:rPr>
        <w:t xml:space="preserve">, и направить свои замечания к отчету в бюджетное учреждение.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Извещение о размещении проекта отчета об итогах ГКО, месте его размещения, о порядке и сроках представления замечаний к проекту отчета размещено на официальном сайте Министерства имущества Челябинской области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  <w:t xml:space="preserve">в разделе Деятельность / Кадастровая оценка / Информация о проведении государственной кадастровой оценки (https:im.gov74.ru).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  <w:t xml:space="preserve">Замечания к проекту отчета могут быть представлены следующими способами: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tbl>
      <w:tblPr>
        <w:tblW w:w="0" w:type="auto"/>
        <w:jc w:val="center"/>
        <w:tblCellSpacing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056"/>
        <w:gridCol w:w="2551"/>
        <w:gridCol w:w="3439"/>
      </w:tblGrid>
      <w:tr>
        <w:tblPrEx/>
        <w:trPr>
          <w:jc w:val="center"/>
          <w:tblCellSpacing w:w="0" w:type="dxa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3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№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Способ подачи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Куда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34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Примечание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3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2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почтой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 России на адрес Учреждения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454080, г.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Челябинск,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br/>
              <w:t xml:space="preserve">ул.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 Витебская, 2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34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каждый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 лист заявления заверяется собственноручной подписью заявителя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</w:tr>
      <w:tr>
        <w:tblPrEx/>
        <w:trPr>
          <w:jc w:val="center"/>
          <w:tblCellSpacing w:w="0" w:type="dxa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3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3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лично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 в Учреждение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г.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Челябинск,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br/>
              <w:t xml:space="preserve">ул.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 Витебская, 2,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br/>
              <w:t xml:space="preserve">офис 406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34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каждый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 лист заявления заверяется собственноручной подписью заявителя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</w:tr>
      <w:tr>
        <w:tblPrEx/>
        <w:trPr>
          <w:jc w:val="center"/>
          <w:tblCellSpacing w:w="0" w:type="dxa"/>
          <w:trHeight w:val="360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5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3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В личном кабинете на сайте ФГИС ЕЦП НСПД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Сайт https://nspd.gov.ru/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343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6"/>
                <w:szCs w:val="26"/>
                <w:lang w:eastAsia="ru-RU"/>
              </w:rPr>
              <w:t xml:space="preserve">-</w:t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36445e" w:themeColor="text1"/>
                <w:sz w:val="26"/>
                <w:szCs w:val="26"/>
              </w:rPr>
            </w:r>
          </w:p>
        </w:tc>
      </w:tr>
    </w:tbl>
    <w:p>
      <w:pPr>
        <w:ind w:left="0" w:right="0" w:firstLine="709"/>
        <w:spacing w:after="0" w:afterAutospacing="0"/>
        <w:shd w:val="nil" w:color="000000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spacing w:after="0" w:afterAutospacing="0"/>
        <w:shd w:val="nil" w:color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Днем представления замечаний к проекту отчета считается: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– день их представления в бюджетное учреждение или многофункциональный центр;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  <w:t xml:space="preserve">– </w:t>
      </w:r>
      <w:r>
        <w:rPr>
          <w:rFonts w:ascii="Times New Roman" w:hAnsi="Times New Roman"/>
          <w:sz w:val="27"/>
          <w:szCs w:val="27"/>
          <w:highlight w:val="none"/>
        </w:rPr>
        <w:t xml:space="preserve">день, указанный на оттиске календарного почтовог</w:t>
      </w:r>
      <w:r>
        <w:rPr>
          <w:rFonts w:ascii="Times New Roman" w:hAnsi="Times New Roman"/>
          <w:sz w:val="27"/>
          <w:szCs w:val="27"/>
          <w:highlight w:val="none"/>
        </w:rPr>
        <w:t xml:space="preserve">о</w:t>
      </w:r>
      <w:r>
        <w:rPr>
          <w:rFonts w:ascii="Times New Roman" w:hAnsi="Times New Roman"/>
          <w:sz w:val="27"/>
          <w:szCs w:val="27"/>
          <w:highlight w:val="none"/>
        </w:rPr>
        <w:t xml:space="preserve"> штемпеля уведомления о вручении (в случае направления замечания регистрируемым почтовым отправлением с уведомлением о вручении);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  <w:t xml:space="preserve">– </w:t>
      </w:r>
      <w:r>
        <w:rPr>
          <w:rFonts w:ascii="Times New Roman" w:hAnsi="Times New Roman"/>
          <w:sz w:val="27"/>
          <w:szCs w:val="27"/>
          <w:highlight w:val="none"/>
        </w:rPr>
        <w:t xml:space="preserve">день его подачи с использованием информационно-телекоммуникационных сетей общего пользования, в том числе сети «Интернет»</w:t>
      </w:r>
      <w:r>
        <w:rPr>
          <w:rFonts w:ascii="Times New Roman" w:hAnsi="Times New Roman"/>
          <w:sz w:val="27"/>
          <w:szCs w:val="27"/>
          <w:highlight w:val="none"/>
        </w:rPr>
        <w:t xml:space="preserve">, включая портал государственных и муниципальных услуг, портал пространственных данных НСПД.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</w:r>
      <w:r>
        <w:rPr>
          <w:rFonts w:ascii="Times New Roman" w:hAnsi="Times New Roman"/>
          <w:sz w:val="27"/>
          <w:szCs w:val="27"/>
          <w:highlight w:val="none"/>
        </w:rPr>
        <w:t xml:space="preserve">Замечание к проекту отчета наряду с изложением его сути должно содержать: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1) фамилию, имя и отчество (последнее - при нали</w:t>
      </w:r>
      <w:r>
        <w:rPr>
          <w:rFonts w:ascii="Times New Roman" w:hAnsi="Times New Roman"/>
          <w:sz w:val="27"/>
          <w:szCs w:val="27"/>
          <w:highlight w:val="none"/>
        </w:rPr>
        <w:t xml:space="preserve">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2) кадастровый номер объекта недвижимости, в отношении определения кадастровой </w:t>
      </w:r>
      <w:r>
        <w:rPr>
          <w:rFonts w:ascii="Times New Roman" w:hAnsi="Times New Roman"/>
          <w:sz w:val="27"/>
          <w:szCs w:val="27"/>
          <w:highlight w:val="none"/>
        </w:rPr>
        <w:t xml:space="preserve">стоимости которого представляется замечание к проекту отчета, если замечание относится к конкретному объекту недвижимости;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3) указание на номера страниц (разделов) проекта отчета, к которым представляется замечание (при необходимости).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К замечанию к проект</w:t>
      </w:r>
      <w:r>
        <w:rPr>
          <w:rFonts w:ascii="Times New Roman" w:hAnsi="Times New Roman"/>
          <w:sz w:val="27"/>
          <w:szCs w:val="27"/>
          <w:highlight w:val="none"/>
        </w:rPr>
        <w:t xml:space="preserve">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</w:t>
      </w:r>
      <w:r>
        <w:rPr>
          <w:rFonts w:ascii="Times New Roman" w:hAnsi="Times New Roman"/>
          <w:sz w:val="27"/>
          <w:szCs w:val="27"/>
          <w:highlight w:val="none"/>
        </w:rPr>
        <w:t xml:space="preserve">овой стоимости. Замечания к проекту отчета, не соответствующие требованиям, установленным статьей 14 Закона о кадастровой оценке, не подлежат рассмотрению бюджетным учреждением. </w:t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  <w:r>
        <w:rPr>
          <w:rFonts w:ascii="Times New Roman" w:hAnsi="Times New Roman"/>
          <w:sz w:val="27"/>
          <w:szCs w:val="27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sz w:val="27"/>
          <w:szCs w:val="27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</w:rPr>
        <w:t xml:space="preserve">Иная форма представления Замечаний к проекту отчета (в том числе предоставление замечаний к проекту </w:t>
      </w:r>
      <w:r>
        <w:rPr>
          <w:rFonts w:ascii="Times New Roman" w:hAnsi="Times New Roman"/>
          <w:sz w:val="27"/>
          <w:szCs w:val="27"/>
          <w:highlight w:val="none"/>
        </w:rPr>
        <w:t xml:space="preserve">отчета в Росреестр) действующим законодательством не предусмотрена.</w:t>
      </w:r>
      <w:r>
        <w:rPr>
          <w:sz w:val="27"/>
          <w:szCs w:val="27"/>
          <w:highlight w:val="none"/>
          <w14:ligatures w14:val="none"/>
        </w:rPr>
      </w:r>
      <w:r>
        <w:rPr>
          <w:sz w:val="27"/>
          <w:szCs w:val="27"/>
          <w:highlight w:val="none"/>
          <w14:ligatures w14:val="none"/>
        </w:rPr>
      </w:r>
    </w:p>
    <w:p>
      <w:pPr>
        <w:pStyle w:val="863"/>
        <w:ind w:left="0" w:right="0" w:firstLine="0"/>
        <w:jc w:val="center"/>
        <w:spacing w:after="0" w:line="276" w:lineRule="auto"/>
        <w:rPr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2528" behindDoc="0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2251944</wp:posOffset>
                </wp:positionV>
                <wp:extent cx="2342220" cy="485775"/>
                <wp:effectExtent l="3175" t="3175" r="3175" b="3175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2342219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ascii="PT Astra Serif" w:hAnsi="PT Astra Serif" w:eastAsia="PT Astra Serif" w:cs="PT Astra Serif"/>
                              </w:rPr>
                              <w:t xml:space="preserve">Извещение на сайте Министерства имущества Челябинской области </w:t>
                            </w:r>
                            <w:r/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2528;o:allowoverlap:true;o:allowincell:true;mso-position-horizontal-relative:text;margin-left:233.85pt;mso-position-horizontal:absolute;mso-position-vertical-relative:text;margin-top:177.32pt;mso-position-vertical:absolute;width:184.43pt;height:38.25pt;mso-wrap-distance-left:9.07pt;mso-wrap-distance-top:0.00pt;mso-wrap-distance-right:9.07pt;mso-wrap-distance-bottom:0.00pt;rotation:0;v-text-anchor:top;visibility:visible;" fillcolor="#FFFFFF" stroked="f" strokeweight="0.50pt">
                <v:textbox inset="0,0,0,0">
                  <w:txbxContent>
                    <w:p>
                      <w:pPr>
                        <w:jc w:val="center"/>
                      </w:pPr>
                      <w:r>
                        <w:rPr>
                          <w:rFonts w:ascii="PT Astra Serif" w:hAnsi="PT Astra Serif" w:eastAsia="PT Astra Serif" w:cs="PT Astra Serif"/>
                        </w:rPr>
                        <w:t xml:space="preserve">Извещение на сайте Министерства имущества Челябинской области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2528" behindDoc="0" locked="0" layoutInCell="1" allowOverlap="1">
                <wp:simplePos x="0" y="0"/>
                <wp:positionH relativeFrom="column">
                  <wp:posOffset>832251</wp:posOffset>
                </wp:positionH>
                <wp:positionV relativeFrom="paragraph">
                  <wp:posOffset>2251944</wp:posOffset>
                </wp:positionV>
                <wp:extent cx="2137644" cy="485775"/>
                <wp:effectExtent l="3175" t="3175" r="3175" b="3175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2137644" cy="485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spacing w:after="0" w:afterAutospacing="0"/>
                              <w:rPr>
                                <w:rFonts w:ascii="PT Astra Serif" w:hAnsi="PT Astra Serif" w:eastAsia="PT Astra Serif" w:cs="PT Astra Serif"/>
                              </w:rPr>
                            </w:pPr>
                            <w:r>
                              <w:rPr>
                                <w:rFonts w:ascii="PT Astra Serif" w:hAnsi="PT Astra Serif" w:eastAsia="PT Astra Serif" w:cs="PT Astra Serif"/>
                              </w:rPr>
                              <w:t xml:space="preserve">Проект отчета </w:t>
                            </w:r>
                            <w:r>
                              <w:rPr>
                                <w:rFonts w:ascii="PT Astra Serif" w:hAnsi="PT Astra Serif" w:eastAsia="PT Astra Serif" w:cs="PT Astra Serif"/>
                              </w:rPr>
                            </w:r>
                            <w:r>
                              <w:rPr>
                                <w:rFonts w:ascii="PT Astra Serif" w:hAnsi="PT Astra Serif" w:eastAsia="PT Astra Serif" w:cs="PT Astra Serif"/>
                              </w:rPr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ascii="PT Astra Serif" w:hAnsi="PT Astra Serif" w:eastAsia="PT Astra Serif" w:cs="PT Astra Serif"/>
                              </w:rPr>
                              <w:t xml:space="preserve">о результатах ГКО</w:t>
                            </w:r>
                            <w:r/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2528;o:allowoverlap:true;o:allowincell:true;mso-position-horizontal-relative:text;margin-left:65.53pt;mso-position-horizontal:absolute;mso-position-vertical-relative:text;margin-top:177.32pt;mso-position-vertical:absolute;width:168.32pt;height:38.25pt;mso-wrap-distance-left:9.07pt;mso-wrap-distance-top:0.00pt;mso-wrap-distance-right:9.07pt;mso-wrap-distance-bottom:0.00pt;v-text-anchor:top;visibility:visible;" fillcolor="#FFFFFF" stroked="f" strokeweight="0.50pt">
                <v:textbox inset="0,0,0,0">
                  <w:txbxContent>
                    <w:p>
                      <w:pPr>
                        <w:jc w:val="center"/>
                        <w:spacing w:after="0" w:afterAutospacing="0"/>
                        <w:rPr>
                          <w:rFonts w:ascii="PT Astra Serif" w:hAnsi="PT Astra Serif" w:eastAsia="PT Astra Serif" w:cs="PT Astra Serif"/>
                        </w:rPr>
                      </w:pPr>
                      <w:r>
                        <w:rPr>
                          <w:rFonts w:ascii="PT Astra Serif" w:hAnsi="PT Astra Serif" w:eastAsia="PT Astra Serif" w:cs="PT Astra Serif"/>
                        </w:rPr>
                        <w:t xml:space="preserve">Проект отчета </w:t>
                      </w:r>
                      <w:r>
                        <w:rPr>
                          <w:rFonts w:ascii="PT Astra Serif" w:hAnsi="PT Astra Serif" w:eastAsia="PT Astra Serif" w:cs="PT Astra Serif"/>
                        </w:rPr>
                      </w:r>
                      <w:r>
                        <w:rPr>
                          <w:rFonts w:ascii="PT Astra Serif" w:hAnsi="PT Astra Serif" w:eastAsia="PT Astra Serif" w:cs="PT Astra Serif"/>
                        </w:rPr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ascii="PT Astra Serif" w:hAnsi="PT Astra Serif" w:eastAsia="PT Astra Serif" w:cs="PT Astra Serif"/>
                        </w:rPr>
                        <w:t xml:space="preserve">о результатах ГКО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00405" cy="2251944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5118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2300405" cy="22519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81.13pt;height:177.3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53569" cy="2182402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280921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2253568" cy="21824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77.45pt;height:171.84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863"/>
        <w:ind w:left="0" w:right="0" w:firstLine="0"/>
        <w:jc w:val="center"/>
        <w:spacing w:after="0" w:line="276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863"/>
        <w:ind w:left="0" w:right="0" w:firstLine="0"/>
        <w:jc w:val="center"/>
        <w:spacing w:after="0" w:line="276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863"/>
        <w:ind w:left="0" w:right="0" w:firstLine="0"/>
        <w:jc w:val="center"/>
        <w:spacing w:after="0" w:line="276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b/>
          <w:bCs/>
          <w:sz w:val="26"/>
          <w:szCs w:val="26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Для консультации по вопросам подачи замечаний к проекту отчета можно обратиться 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в </w:t>
      </w:r>
      <w:r>
        <w:rPr>
          <w:rFonts w:ascii="Times New Roman" w:hAnsi="Times New Roman"/>
          <w:sz w:val="27"/>
          <w:szCs w:val="27"/>
          <w:highlight w:val="none"/>
        </w:rPr>
        <w:t xml:space="preserve">ОГБУ «</w:t>
      </w:r>
      <w:r>
        <w:rPr>
          <w:rFonts w:ascii="Times New Roman" w:hAnsi="Times New Roman"/>
          <w:sz w:val="27"/>
          <w:szCs w:val="27"/>
          <w:highlight w:val="none"/>
        </w:rPr>
        <w:t xml:space="preserve">ГосКадОценка</w:t>
      </w:r>
      <w:r>
        <w:rPr>
          <w:rFonts w:ascii="Times New Roman" w:hAnsi="Times New Roman"/>
          <w:sz w:val="27"/>
          <w:szCs w:val="27"/>
          <w:highlight w:val="none"/>
        </w:rPr>
        <w:t xml:space="preserve"> по Челябинской области»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 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по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 телефон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ам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:</w:t>
      </w:r>
      <w:r>
        <w:rPr>
          <w:rFonts w:ascii="Times New Roman" w:hAnsi="Times New Roman"/>
          <w:b/>
          <w:bCs/>
          <w:sz w:val="26"/>
          <w:szCs w:val="26"/>
          <w:highlight w:val="none"/>
          <w14:ligatures w14:val="none"/>
        </w:rPr>
      </w:r>
      <w:r>
        <w:rPr>
          <w:rFonts w:ascii="Times New Roman" w:hAnsi="Times New Roman"/>
          <w:b/>
          <w:bCs/>
          <w:sz w:val="26"/>
          <w:szCs w:val="26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8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 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(351) 261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-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10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-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10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;</w:t>
      </w:r>
      <w:r>
        <w:rPr>
          <w:rFonts w:ascii="Times New Roman" w:hAnsi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/>
          <w:sz w:val="26"/>
          <w:szCs w:val="26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bCs/>
          <w:sz w:val="26"/>
          <w:szCs w:val="26"/>
          <w:highlight w:val="none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8 (351) 232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-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24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-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05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;</w:t>
      </w:r>
      <w:r>
        <w:rPr>
          <w:rFonts w:ascii="Times New Roman" w:hAnsi="Times New Roman"/>
          <w:bCs/>
          <w:sz w:val="26"/>
          <w:szCs w:val="26"/>
          <w:highlight w:val="none"/>
          <w14:ligatures w14:val="none"/>
        </w:rPr>
      </w:r>
      <w:r>
        <w:rPr>
          <w:rFonts w:ascii="Times New Roman" w:hAnsi="Times New Roman"/>
          <w:bCs/>
          <w:sz w:val="26"/>
          <w:szCs w:val="26"/>
          <w:highlight w:val="none"/>
          <w14:ligatures w14:val="none"/>
        </w:rPr>
      </w:r>
    </w:p>
    <w:p>
      <w:pPr>
        <w:pStyle w:val="863"/>
        <w:ind w:left="0" w:firstLine="709"/>
        <w:jc w:val="both"/>
        <w:spacing w:after="0" w:line="276" w:lineRule="auto"/>
        <w:rPr>
          <w:rFonts w:ascii="Times New Roman" w:hAnsi="Times New Roman"/>
          <w:sz w:val="26"/>
          <w:szCs w:val="26"/>
          <w:highlight w:val="none"/>
          <w:lang w:eastAsia="ru-RU"/>
          <w14:ligatures w14:val="none"/>
        </w:rPr>
      </w:pP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8 (351) 232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-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19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-</w:t>
      </w:r>
      <w:r>
        <w:rPr>
          <w:rFonts w:ascii="Times New Roman" w:hAnsi="Times New Roman"/>
          <w:sz w:val="27"/>
          <w:szCs w:val="27"/>
          <w:highlight w:val="none"/>
          <w:lang w:eastAsia="ru-RU"/>
        </w:rPr>
        <w:t xml:space="preserve">77.</w:t>
      </w:r>
      <w:r>
        <w:rPr>
          <w:rFonts w:ascii="Times New Roman" w:hAnsi="Times New Roman"/>
          <w:sz w:val="26"/>
          <w:szCs w:val="26"/>
          <w:highlight w:val="none"/>
          <w:lang w:eastAsia="ru-RU"/>
          <w14:ligatures w14:val="none"/>
        </w:rPr>
      </w:r>
      <w:r>
        <w:rPr>
          <w:rFonts w:ascii="Times New Roman" w:hAnsi="Times New Roman"/>
          <w:sz w:val="26"/>
          <w:szCs w:val="26"/>
          <w:highlight w:val="none"/>
          <w:lang w:eastAsia="ru-RU"/>
          <w14:ligatures w14:val="none"/>
        </w:rPr>
      </w:r>
    </w:p>
    <w:sectPr>
      <w:footnotePr>
        <w:pos w:val="pageBottom"/>
      </w:footnotePr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55"/>
        <w:ind w:left="0"/>
        <w:jc w:val="left"/>
        <w:spacing w:before="0" w:after="200" w:line="276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  <w:lang w:val="en-US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endnote>
  <w:endnote w:type="continuationSeparator" w:id="0">
    <w:p>
      <w:pPr>
        <w:pStyle w:val="855"/>
        <w:ind w:left="0"/>
        <w:jc w:val="left"/>
        <w:spacing w:before="0" w:after="200" w:line="276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  <w:lang w:val="en-US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mesNewRoman">
    <w:panose1 w:val="02000603000000000000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55"/>
        <w:ind w:left="0"/>
        <w:jc w:val="left"/>
        <w:spacing w:before="0" w:after="200" w:line="276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  <w:lang w:val="en-US"/>
        </w:rPr>
        <w: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footnote>
  <w:footnote w:type="continuationSeparator" w:id="0">
    <w:p>
      <w:pPr>
        <w:pStyle w:val="855"/>
        <w:ind w:left="0"/>
        <w:jc w:val="left"/>
        <w:spacing w:before="0" w:after="200" w:line="276" w:lineRule="auto"/>
        <w:rPr>
          <w:rFonts w:ascii="TimesNewRoman" w:hAnsi="TimesNewRoman" w:eastAsia="TimesNewRoman" w:cs="TimesNewRoman"/>
          <w:sz w:val="24"/>
        </w:rPr>
      </w:pPr>
      <w:r>
        <w:rPr>
          <w:rFonts w:ascii="TimesNewRoman" w:hAnsi="TimesNewRoman" w:eastAsia="TimesNewRoman" w:cs="TimesNewRoman"/>
          <w:sz w:val="24"/>
          <w:lang w:val="en-US"/>
        </w:rPr>
        <w:continuationSeparator/>
      </w:r>
      <w:r>
        <w:rPr>
          <w:rFonts w:ascii="TimesNewRoman" w:hAnsi="TimesNewRoman" w:eastAsia="TimesNewRoman" w:cs="TimesNewRoman"/>
          <w:sz w:val="24"/>
        </w:rPr>
      </w:r>
      <w:r>
        <w:rPr>
          <w:rFonts w:ascii="TimesNewRoman" w:hAnsi="TimesNewRoman" w:eastAsia="TimesNewRoman" w:cs="TimesNewRoman"/>
          <w:sz w:val="24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·"/>
      <w:lvlJc w:val="left"/>
      <w:pPr>
        <w:ind w:hanging="360"/>
      </w:pPr>
    </w:lvl>
    <w:lvl w:ilvl="1">
      <w:start w:val="1"/>
      <w:numFmt w:val="lowerLetter"/>
      <w:isLgl w:val="false"/>
      <w:suff w:val="tab"/>
      <w:lvlText w:val="o"/>
      <w:lvlJc w:val="left"/>
      <w:pPr>
        <w:ind w:hanging="360"/>
      </w:pPr>
    </w:lvl>
    <w:lvl w:ilvl="2">
      <w:start w:val="1"/>
      <w:numFmt w:val="lowerRoman"/>
      <w:isLgl w:val="false"/>
      <w:suff w:val="tab"/>
      <w:lvlText w:val="§"/>
      <w:lvlJc w:val="right"/>
      <w:pPr>
        <w:ind w:hanging="180"/>
      </w:pPr>
    </w:lvl>
    <w:lvl w:ilvl="3">
      <w:start w:val="1"/>
      <w:numFmt w:val="decimal"/>
      <w:isLgl w:val="false"/>
      <w:suff w:val="tab"/>
      <w:lvlText w:val="·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o"/>
      <w:lvlJc w:val="left"/>
      <w:pPr>
        <w:ind w:hanging="360"/>
      </w:pPr>
    </w:lvl>
    <w:lvl w:ilvl="5">
      <w:start w:val="1"/>
      <w:numFmt w:val="lowerRoman"/>
      <w:isLgl w:val="false"/>
      <w:suff w:val="tab"/>
      <w:lvlText w:val="§"/>
      <w:lvlJc w:val="right"/>
      <w:pPr>
        <w:ind w:hanging="180"/>
      </w:pPr>
    </w:lvl>
    <w:lvl w:ilvl="6">
      <w:start w:val="1"/>
      <w:numFmt w:val="decimal"/>
      <w:isLgl w:val="false"/>
      <w:suff w:val="tab"/>
      <w:lvlText w:val="·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o"/>
      <w:lvlJc w:val="left"/>
      <w:pPr>
        <w:ind w:hanging="360"/>
      </w:pPr>
    </w:lvl>
    <w:lvl w:ilvl="8">
      <w:start w:val="1"/>
      <w:numFmt w:val="lowerRoman"/>
      <w:isLgl w:val="false"/>
      <w:suff w:val="tab"/>
      <w:lvlText w:val="§"/>
      <w:lvlJc w:val="right"/>
      <w:pPr>
        <w:ind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hanging="360"/>
      </w:pPr>
    </w:lvl>
    <w:lvl w:ilvl="1">
      <w:start w:val="1"/>
      <w:numFmt w:val="bullet"/>
      <w:isLgl w:val="false"/>
      <w:suff w:val="tab"/>
      <w:lvlText w:val="o"/>
      <w:lvlJc w:val="left"/>
      <w:pPr>
        <w:ind w:hanging="360"/>
      </w:pPr>
    </w:lvl>
    <w:lvl w:ilvl="2">
      <w:start w:val="1"/>
      <w:numFmt w:val="bullet"/>
      <w:isLgl w:val="false"/>
      <w:suff w:val="tab"/>
      <w:lvlText w:val="§"/>
      <w:lvlJc w:val="left"/>
      <w:pPr>
        <w:ind w:hanging="360"/>
      </w:pPr>
    </w:lvl>
    <w:lvl w:ilvl="3">
      <w:start w:val="1"/>
      <w:numFmt w:val="bullet"/>
      <w:isLgl w:val="false"/>
      <w:suff w:val="tab"/>
      <w:lvlText w:val="·"/>
      <w:lvlJc w:val="left"/>
      <w:pPr>
        <w:ind w:hanging="360"/>
      </w:pPr>
    </w:lvl>
    <w:lvl w:ilvl="4">
      <w:start w:val="1"/>
      <w:numFmt w:val="bullet"/>
      <w:isLgl w:val="false"/>
      <w:suff w:val="tab"/>
      <w:lvlText w:val="o"/>
      <w:lvlJc w:val="left"/>
      <w:pPr>
        <w:ind w:hanging="360"/>
      </w:pPr>
    </w:lvl>
    <w:lvl w:ilvl="5">
      <w:start w:val="1"/>
      <w:numFmt w:val="bullet"/>
      <w:isLgl w:val="false"/>
      <w:suff w:val="tab"/>
      <w:lvlText w:val="§"/>
      <w:lvlJc w:val="left"/>
      <w:pPr>
        <w:ind w:hanging="360"/>
      </w:pPr>
    </w:lvl>
    <w:lvl w:ilvl="6">
      <w:start w:val="1"/>
      <w:numFmt w:val="bullet"/>
      <w:isLgl w:val="false"/>
      <w:suff w:val="tab"/>
      <w:lvlText w:val="·"/>
      <w:lvlJc w:val="left"/>
      <w:pPr>
        <w:ind w:hanging="360"/>
      </w:pPr>
    </w:lvl>
    <w:lvl w:ilvl="7">
      <w:start w:val="1"/>
      <w:numFmt w:val="bullet"/>
      <w:isLgl w:val="false"/>
      <w:suff w:val="tab"/>
      <w:lvlText w:val="o"/>
      <w:lvlJc w:val="left"/>
      <w:pPr>
        <w:ind w:hanging="360"/>
      </w:pPr>
    </w:lvl>
    <w:lvl w:ilvl="8">
      <w:start w:val="1"/>
      <w:numFmt w:val="bullet"/>
      <w:isLgl w:val="false"/>
      <w:suff w:val="tab"/>
      <w:lvlText w:val="§"/>
      <w:lvlJc w:val="left"/>
      <w:pPr>
        <w:ind w:hanging="36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hanging="360"/>
      </w:pPr>
    </w:lvl>
    <w:lvl w:ilvl="1">
      <w:start w:val="1"/>
      <w:numFmt w:val="bullet"/>
      <w:isLgl w:val="false"/>
      <w:suff w:val="tab"/>
      <w:lvlText w:val="o"/>
      <w:lvlJc w:val="left"/>
      <w:pPr>
        <w:ind w:hanging="360"/>
      </w:pPr>
    </w:lvl>
    <w:lvl w:ilvl="2">
      <w:start w:val="1"/>
      <w:numFmt w:val="bullet"/>
      <w:isLgl w:val="false"/>
      <w:suff w:val="tab"/>
      <w:lvlText w:val="§"/>
      <w:lvlJc w:val="left"/>
      <w:pPr>
        <w:ind w:hanging="360"/>
      </w:pPr>
    </w:lvl>
    <w:lvl w:ilvl="3">
      <w:start w:val="1"/>
      <w:numFmt w:val="bullet"/>
      <w:isLgl w:val="false"/>
      <w:suff w:val="tab"/>
      <w:lvlText w:val="·"/>
      <w:lvlJc w:val="left"/>
      <w:pPr>
        <w:ind w:hanging="360"/>
      </w:pPr>
    </w:lvl>
    <w:lvl w:ilvl="4">
      <w:start w:val="1"/>
      <w:numFmt w:val="bullet"/>
      <w:isLgl w:val="false"/>
      <w:suff w:val="tab"/>
      <w:lvlText w:val="o"/>
      <w:lvlJc w:val="left"/>
      <w:pPr>
        <w:ind w:hanging="360"/>
      </w:pPr>
    </w:lvl>
    <w:lvl w:ilvl="5">
      <w:start w:val="1"/>
      <w:numFmt w:val="bullet"/>
      <w:isLgl w:val="false"/>
      <w:suff w:val="tab"/>
      <w:lvlText w:val="§"/>
      <w:lvlJc w:val="left"/>
      <w:pPr>
        <w:ind w:hanging="360"/>
      </w:pPr>
    </w:lvl>
    <w:lvl w:ilvl="6">
      <w:start w:val="1"/>
      <w:numFmt w:val="bullet"/>
      <w:isLgl w:val="false"/>
      <w:suff w:val="tab"/>
      <w:lvlText w:val="·"/>
      <w:lvlJc w:val="left"/>
      <w:pPr>
        <w:ind w:hanging="360"/>
      </w:pPr>
    </w:lvl>
    <w:lvl w:ilvl="7">
      <w:start w:val="1"/>
      <w:numFmt w:val="bullet"/>
      <w:isLgl w:val="false"/>
      <w:suff w:val="tab"/>
      <w:lvlText w:val="o"/>
      <w:lvlJc w:val="left"/>
      <w:pPr>
        <w:ind w:hanging="360"/>
      </w:pPr>
    </w:lvl>
    <w:lvl w:ilvl="8">
      <w:start w:val="1"/>
      <w:numFmt w:val="bullet"/>
      <w:isLgl w:val="false"/>
      <w:suff w:val="tab"/>
      <w:lvlText w:val="§"/>
      <w:lvlJc w:val="left"/>
      <w:pPr>
        <w:ind w:hanging="36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hanging="360"/>
      </w:pPr>
    </w:lvl>
    <w:lvl w:ilvl="1">
      <w:start w:val="1"/>
      <w:numFmt w:val="bullet"/>
      <w:isLgl w:val="false"/>
      <w:suff w:val="tab"/>
      <w:lvlText w:val="o"/>
      <w:lvlJc w:val="left"/>
      <w:pPr>
        <w:ind w:hanging="360"/>
      </w:pPr>
    </w:lvl>
    <w:lvl w:ilvl="2">
      <w:start w:val="1"/>
      <w:numFmt w:val="bullet"/>
      <w:isLgl w:val="false"/>
      <w:suff w:val="tab"/>
      <w:lvlText w:val="§"/>
      <w:lvlJc w:val="left"/>
      <w:pPr>
        <w:ind w:hanging="360"/>
      </w:pPr>
    </w:lvl>
    <w:lvl w:ilvl="3">
      <w:start w:val="1"/>
      <w:numFmt w:val="bullet"/>
      <w:isLgl w:val="false"/>
      <w:suff w:val="tab"/>
      <w:lvlText w:val="·"/>
      <w:lvlJc w:val="left"/>
      <w:pPr>
        <w:ind w:hanging="360"/>
      </w:pPr>
    </w:lvl>
    <w:lvl w:ilvl="4">
      <w:start w:val="1"/>
      <w:numFmt w:val="bullet"/>
      <w:isLgl w:val="false"/>
      <w:suff w:val="tab"/>
      <w:lvlText w:val="o"/>
      <w:lvlJc w:val="left"/>
      <w:pPr>
        <w:ind w:hanging="360"/>
      </w:pPr>
    </w:lvl>
    <w:lvl w:ilvl="5">
      <w:start w:val="1"/>
      <w:numFmt w:val="bullet"/>
      <w:isLgl w:val="false"/>
      <w:suff w:val="tab"/>
      <w:lvlText w:val="§"/>
      <w:lvlJc w:val="left"/>
      <w:pPr>
        <w:ind w:hanging="360"/>
      </w:pPr>
    </w:lvl>
    <w:lvl w:ilvl="6">
      <w:start w:val="1"/>
      <w:numFmt w:val="bullet"/>
      <w:isLgl w:val="false"/>
      <w:suff w:val="tab"/>
      <w:lvlText w:val="·"/>
      <w:lvlJc w:val="left"/>
      <w:pPr>
        <w:ind w:hanging="360"/>
      </w:pPr>
    </w:lvl>
    <w:lvl w:ilvl="7">
      <w:start w:val="1"/>
      <w:numFmt w:val="bullet"/>
      <w:isLgl w:val="false"/>
      <w:suff w:val="tab"/>
      <w:lvlText w:val="o"/>
      <w:lvlJc w:val="left"/>
      <w:pPr>
        <w:ind w:hanging="360"/>
      </w:pPr>
    </w:lvl>
    <w:lvl w:ilvl="8">
      <w:start w:val="1"/>
      <w:numFmt w:val="bullet"/>
      <w:isLgl w:val="false"/>
      <w:suff w:val="tab"/>
      <w:lvlText w:val="§"/>
      <w:lvlJc w:val="left"/>
      <w:pPr>
        <w:ind w:hanging="36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hanging="360"/>
      </w:pPr>
    </w:lvl>
    <w:lvl w:ilvl="1">
      <w:start w:val="1"/>
      <w:numFmt w:val="bullet"/>
      <w:isLgl w:val="false"/>
      <w:suff w:val="tab"/>
      <w:lvlText w:val="o"/>
      <w:lvlJc w:val="left"/>
      <w:pPr>
        <w:ind w:hanging="360"/>
      </w:pPr>
    </w:lvl>
    <w:lvl w:ilvl="2">
      <w:start w:val="1"/>
      <w:numFmt w:val="bullet"/>
      <w:isLgl w:val="false"/>
      <w:suff w:val="tab"/>
      <w:lvlText w:val="§"/>
      <w:lvlJc w:val="left"/>
      <w:pPr>
        <w:ind w:hanging="360"/>
      </w:pPr>
    </w:lvl>
    <w:lvl w:ilvl="3">
      <w:start w:val="1"/>
      <w:numFmt w:val="bullet"/>
      <w:isLgl w:val="false"/>
      <w:suff w:val="tab"/>
      <w:lvlText w:val="·"/>
      <w:lvlJc w:val="left"/>
      <w:pPr>
        <w:ind w:hanging="360"/>
      </w:pPr>
    </w:lvl>
    <w:lvl w:ilvl="4">
      <w:start w:val="1"/>
      <w:numFmt w:val="bullet"/>
      <w:isLgl w:val="false"/>
      <w:suff w:val="tab"/>
      <w:lvlText w:val="o"/>
      <w:lvlJc w:val="left"/>
      <w:pPr>
        <w:ind w:hanging="360"/>
      </w:pPr>
    </w:lvl>
    <w:lvl w:ilvl="5">
      <w:start w:val="1"/>
      <w:numFmt w:val="bullet"/>
      <w:isLgl w:val="false"/>
      <w:suff w:val="tab"/>
      <w:lvlText w:val="§"/>
      <w:lvlJc w:val="left"/>
      <w:pPr>
        <w:ind w:hanging="360"/>
      </w:pPr>
    </w:lvl>
    <w:lvl w:ilvl="6">
      <w:start w:val="1"/>
      <w:numFmt w:val="bullet"/>
      <w:isLgl w:val="false"/>
      <w:suff w:val="tab"/>
      <w:lvlText w:val="·"/>
      <w:lvlJc w:val="left"/>
      <w:pPr>
        <w:ind w:hanging="360"/>
      </w:pPr>
    </w:lvl>
    <w:lvl w:ilvl="7">
      <w:start w:val="1"/>
      <w:numFmt w:val="bullet"/>
      <w:isLgl w:val="false"/>
      <w:suff w:val="tab"/>
      <w:lvlText w:val="o"/>
      <w:lvlJc w:val="left"/>
      <w:pPr>
        <w:ind w:hanging="360"/>
      </w:pPr>
    </w:lvl>
    <w:lvl w:ilvl="8">
      <w:start w:val="1"/>
      <w:numFmt w:val="bullet"/>
      <w:isLgl w:val="false"/>
      <w:suff w:val="tab"/>
      <w:lvlText w:val="§"/>
      <w:lvlJc w:val="left"/>
      <w:pPr>
        <w:ind w:hanging="3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beneathText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5"/>
    <w:uiPriority w:val="9"/>
    <w:qFormat/>
    <w:pPr>
      <w:jc w:val="left"/>
      <w:keepLines/>
      <w:keepNext/>
      <w:spacing w:before="480" w:after="200" w:line="240" w:lineRule="auto"/>
      <w:outlineLvl w:val="0"/>
    </w:pPr>
    <w:rPr>
      <w:rFonts w:ascii="Arial" w:hAnsi="Arial" w:eastAsia="Arial" w:cs="Arial"/>
      <w:sz w:val="40"/>
    </w:rPr>
  </w:style>
  <w:style w:type="character" w:styleId="679">
    <w:name w:val="Heading 1 Char"/>
    <w:basedOn w:val="856"/>
    <w:uiPriority w:val="9"/>
    <w:rPr>
      <w:rFonts w:ascii="Arial" w:hAnsi="Arial" w:eastAsia="Arial" w:cs="Arial"/>
      <w:sz w:val="40"/>
    </w:rPr>
  </w:style>
  <w:style w:type="paragraph" w:styleId="680">
    <w:name w:val="Heading 2"/>
    <w:basedOn w:val="855"/>
    <w:uiPriority w:val="9"/>
    <w:unhideWhenUsed/>
    <w:qFormat/>
    <w:pPr>
      <w:jc w:val="left"/>
      <w:keepLines/>
      <w:keepNext/>
      <w:spacing w:before="360" w:after="200" w:line="240" w:lineRule="auto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basedOn w:val="856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2"/>
    </w:pPr>
    <w:rPr>
      <w:rFonts w:ascii="Arial" w:hAnsi="Arial" w:eastAsia="Arial" w:cs="Arial"/>
      <w:sz w:val="30"/>
    </w:rPr>
  </w:style>
  <w:style w:type="character" w:styleId="683">
    <w:name w:val="Heading 3 Char"/>
    <w:basedOn w:val="856"/>
    <w:uiPriority w:val="9"/>
    <w:rPr>
      <w:rFonts w:ascii="Arial" w:hAnsi="Arial" w:eastAsia="Arial" w:cs="Arial"/>
      <w:sz w:val="30"/>
    </w:rPr>
  </w:style>
  <w:style w:type="paragraph" w:styleId="684">
    <w:name w:val="Heading 4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3"/>
    </w:pPr>
    <w:rPr>
      <w:rFonts w:ascii="Arial" w:hAnsi="Arial" w:eastAsia="Arial" w:cs="Arial"/>
      <w:b/>
      <w:sz w:val="26"/>
    </w:rPr>
  </w:style>
  <w:style w:type="character" w:styleId="685">
    <w:name w:val="Heading 4 Char"/>
    <w:basedOn w:val="856"/>
    <w:uiPriority w:val="9"/>
    <w:rPr>
      <w:rFonts w:ascii="Arial" w:hAnsi="Arial" w:eastAsia="Arial" w:cs="Arial"/>
      <w:b/>
      <w:sz w:val="26"/>
    </w:rPr>
  </w:style>
  <w:style w:type="paragraph" w:styleId="686">
    <w:name w:val="Heading 5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4"/>
    </w:pPr>
    <w:rPr>
      <w:rFonts w:ascii="Arial" w:hAnsi="Arial" w:eastAsia="Arial" w:cs="Arial"/>
      <w:b/>
      <w:sz w:val="24"/>
    </w:rPr>
  </w:style>
  <w:style w:type="character" w:styleId="687">
    <w:name w:val="Heading 5 Char"/>
    <w:basedOn w:val="856"/>
    <w:uiPriority w:val="9"/>
    <w:rPr>
      <w:rFonts w:ascii="Arial" w:hAnsi="Arial" w:eastAsia="Arial" w:cs="Arial"/>
      <w:b/>
      <w:sz w:val="24"/>
    </w:rPr>
  </w:style>
  <w:style w:type="paragraph" w:styleId="688">
    <w:name w:val="Heading 6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5"/>
    </w:pPr>
    <w:rPr>
      <w:rFonts w:ascii="Arial" w:hAnsi="Arial" w:eastAsia="Arial" w:cs="Arial"/>
      <w:b/>
      <w:sz w:val="22"/>
    </w:rPr>
  </w:style>
  <w:style w:type="character" w:styleId="689">
    <w:name w:val="Heading 6 Char"/>
    <w:basedOn w:val="856"/>
    <w:uiPriority w:val="9"/>
    <w:rPr>
      <w:rFonts w:ascii="Arial" w:hAnsi="Arial" w:eastAsia="Arial" w:cs="Arial"/>
      <w:b/>
      <w:sz w:val="22"/>
    </w:rPr>
  </w:style>
  <w:style w:type="paragraph" w:styleId="690">
    <w:name w:val="Heading 7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6"/>
    </w:pPr>
    <w:rPr>
      <w:rFonts w:ascii="Arial" w:hAnsi="Arial" w:eastAsia="Arial" w:cs="Arial"/>
      <w:b/>
      <w:i/>
      <w:sz w:val="22"/>
    </w:rPr>
  </w:style>
  <w:style w:type="character" w:styleId="691">
    <w:name w:val="Heading 7 Char"/>
    <w:basedOn w:val="856"/>
    <w:uiPriority w:val="9"/>
    <w:rPr>
      <w:rFonts w:ascii="Arial" w:hAnsi="Arial" w:eastAsia="Arial" w:cs="Arial"/>
      <w:b/>
      <w:i/>
      <w:sz w:val="22"/>
    </w:rPr>
  </w:style>
  <w:style w:type="paragraph" w:styleId="692">
    <w:name w:val="Heading 8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7"/>
    </w:pPr>
    <w:rPr>
      <w:rFonts w:ascii="Arial" w:hAnsi="Arial" w:eastAsia="Arial" w:cs="Arial"/>
      <w:i/>
      <w:sz w:val="22"/>
    </w:rPr>
  </w:style>
  <w:style w:type="character" w:styleId="693">
    <w:name w:val="Heading 8 Char"/>
    <w:basedOn w:val="856"/>
    <w:uiPriority w:val="9"/>
    <w:rPr>
      <w:rFonts w:ascii="Arial" w:hAnsi="Arial" w:eastAsia="Arial" w:cs="Arial"/>
      <w:i/>
      <w:sz w:val="22"/>
    </w:rPr>
  </w:style>
  <w:style w:type="paragraph" w:styleId="694">
    <w:name w:val="Heading 9"/>
    <w:basedOn w:val="855"/>
    <w:uiPriority w:val="9"/>
    <w:unhideWhenUsed/>
    <w:qFormat/>
    <w:pPr>
      <w:jc w:val="left"/>
      <w:keepLines/>
      <w:keepNext/>
      <w:spacing w:before="320" w:after="200" w:line="240" w:lineRule="auto"/>
      <w:outlineLvl w:val="8"/>
    </w:pPr>
    <w:rPr>
      <w:rFonts w:ascii="Arial" w:hAnsi="Arial" w:eastAsia="Arial" w:cs="Arial"/>
      <w:i/>
      <w:sz w:val="21"/>
    </w:rPr>
  </w:style>
  <w:style w:type="character" w:styleId="695">
    <w:name w:val="Heading 9 Char"/>
    <w:basedOn w:val="856"/>
    <w:uiPriority w:val="9"/>
    <w:rPr>
      <w:rFonts w:ascii="Arial" w:hAnsi="Arial" w:eastAsia="Arial" w:cs="Arial"/>
      <w:i/>
      <w:sz w:val="21"/>
    </w:rPr>
  </w:style>
  <w:style w:type="paragraph" w:styleId="696">
    <w:name w:val="List Paragraph"/>
    <w:basedOn w:val="855"/>
    <w:uiPriority w:val="34"/>
    <w:qFormat/>
    <w:pPr>
      <w:contextualSpacing/>
      <w:ind w:left="720"/>
      <w:jc w:val="left"/>
      <w:spacing w:before="0" w:after="0" w:line="240" w:lineRule="auto"/>
    </w:pPr>
    <w:rPr>
      <w:rFonts w:ascii="Calibri" w:hAnsi="Calibri" w:eastAsia="Calibri" w:cs="Calibri"/>
      <w:sz w:val="24"/>
    </w:rPr>
  </w:style>
  <w:style w:type="paragraph" w:styleId="697">
    <w:name w:val="No Spacing"/>
    <w:uiPriority w:val="1"/>
    <w:qFormat/>
    <w:pPr>
      <w:jc w:val="left"/>
      <w:spacing w:before="0" w:after="0" w:line="240" w:lineRule="auto"/>
    </w:pPr>
    <w:rPr>
      <w:rFonts w:ascii="Calibri" w:hAnsi="Calibri" w:eastAsia="Calibri" w:cs="Calibri"/>
      <w:sz w:val="24"/>
    </w:rPr>
  </w:style>
  <w:style w:type="paragraph" w:styleId="698">
    <w:name w:val="Title"/>
    <w:basedOn w:val="855"/>
    <w:uiPriority w:val="10"/>
    <w:qFormat/>
    <w:pPr>
      <w:contextualSpacing/>
      <w:jc w:val="left"/>
      <w:spacing w:before="300" w:after="200" w:line="240" w:lineRule="auto"/>
    </w:pPr>
    <w:rPr>
      <w:rFonts w:ascii="Calibri" w:hAnsi="Calibri" w:eastAsia="Calibri" w:cs="Calibri"/>
      <w:sz w:val="48"/>
    </w:rPr>
  </w:style>
  <w:style w:type="character" w:styleId="699">
    <w:name w:val="Title Char"/>
    <w:basedOn w:val="856"/>
    <w:uiPriority w:val="10"/>
    <w:rPr>
      <w:rFonts w:ascii="Calibri" w:hAnsi="Calibri" w:eastAsia="Calibri" w:cs="Calibri"/>
      <w:sz w:val="48"/>
    </w:rPr>
  </w:style>
  <w:style w:type="paragraph" w:styleId="700">
    <w:name w:val="Subtitle"/>
    <w:basedOn w:val="855"/>
    <w:uiPriority w:val="11"/>
    <w:qFormat/>
    <w:pPr>
      <w:jc w:val="left"/>
      <w:spacing w:before="200" w:after="200" w:line="240" w:lineRule="auto"/>
    </w:pPr>
    <w:rPr>
      <w:rFonts w:ascii="Calibri" w:hAnsi="Calibri" w:eastAsia="Calibri" w:cs="Calibri"/>
      <w:sz w:val="24"/>
    </w:rPr>
  </w:style>
  <w:style w:type="character" w:styleId="701">
    <w:name w:val="Subtitle Char"/>
    <w:basedOn w:val="856"/>
    <w:uiPriority w:val="11"/>
    <w:rPr>
      <w:rFonts w:ascii="Calibri" w:hAnsi="Calibri" w:eastAsia="Calibri" w:cs="Calibri"/>
      <w:sz w:val="24"/>
    </w:rPr>
  </w:style>
  <w:style w:type="paragraph" w:styleId="702">
    <w:name w:val="Quote"/>
    <w:basedOn w:val="855"/>
    <w:uiPriority w:val="29"/>
    <w:qFormat/>
    <w:pPr>
      <w:ind w:left="720"/>
      <w:jc w:val="left"/>
      <w:spacing w:before="0" w:after="0" w:line="240" w:lineRule="auto"/>
    </w:pPr>
    <w:rPr>
      <w:rFonts w:ascii="Calibri" w:hAnsi="Calibri" w:eastAsia="Calibri" w:cs="Calibri"/>
      <w:i/>
      <w:sz w:val="24"/>
    </w:rPr>
  </w:style>
  <w:style w:type="character" w:styleId="703">
    <w:name w:val="Quote Char"/>
    <w:uiPriority w:val="29"/>
    <w:rPr>
      <w:rFonts w:ascii="Calibri" w:hAnsi="Calibri" w:eastAsia="Calibri" w:cs="Calibri"/>
      <w:i/>
      <w:sz w:val="24"/>
    </w:rPr>
  </w:style>
  <w:style w:type="paragraph" w:styleId="704">
    <w:name w:val="Intense Quote"/>
    <w:basedOn w:val="855"/>
    <w:uiPriority w:val="30"/>
    <w:qFormat/>
    <w:pPr>
      <w:contextualSpacing w:val="0"/>
      <w:ind w:left="720"/>
      <w:jc w:val="left"/>
      <w:spacing w:before="0" w:after="0" w:line="240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Calibri" w:hAnsi="Calibri" w:eastAsia="Calibri" w:cs="Calibri"/>
      <w:i/>
      <w:sz w:val="24"/>
    </w:rPr>
  </w:style>
  <w:style w:type="character" w:styleId="705">
    <w:name w:val="Intense Quote Char"/>
    <w:uiPriority w:val="30"/>
    <w:rPr>
      <w:rFonts w:ascii="Calibri" w:hAnsi="Calibri" w:eastAsia="Calibri" w:cs="Calibri"/>
      <w:i/>
      <w:sz w:val="24"/>
    </w:rPr>
  </w:style>
  <w:style w:type="paragraph" w:styleId="706">
    <w:name w:val="Header"/>
    <w:basedOn w:val="855"/>
    <w:uiPriority w:val="99"/>
    <w:unhideWhenUsed/>
    <w:pPr>
      <w:jc w:val="left"/>
      <w:spacing w:before="0" w:after="0" w:line="240" w:lineRule="auto"/>
      <w:tabs>
        <w:tab w:val="center" w:pos="7143" w:leader="none"/>
        <w:tab w:val="right" w:pos="14287" w:leader="none"/>
      </w:tabs>
    </w:pPr>
    <w:rPr>
      <w:rFonts w:ascii="Calibri" w:hAnsi="Calibri" w:eastAsia="Calibri" w:cs="Calibri"/>
      <w:sz w:val="24"/>
    </w:rPr>
  </w:style>
  <w:style w:type="character" w:styleId="707">
    <w:name w:val="Header Char"/>
    <w:basedOn w:val="856"/>
    <w:uiPriority w:val="99"/>
    <w:rPr>
      <w:rFonts w:ascii="Calibri" w:hAnsi="Calibri" w:eastAsia="Calibri" w:cs="Calibri"/>
      <w:sz w:val="24"/>
    </w:rPr>
  </w:style>
  <w:style w:type="paragraph" w:styleId="708">
    <w:name w:val="Footer"/>
    <w:basedOn w:val="855"/>
    <w:uiPriority w:val="99"/>
    <w:unhideWhenUsed/>
    <w:pPr>
      <w:jc w:val="left"/>
      <w:spacing w:before="0" w:after="0" w:line="240" w:lineRule="auto"/>
      <w:tabs>
        <w:tab w:val="center" w:pos="7143" w:leader="none"/>
        <w:tab w:val="right" w:pos="14287" w:leader="none"/>
      </w:tabs>
    </w:pPr>
    <w:rPr>
      <w:rFonts w:ascii="Calibri" w:hAnsi="Calibri" w:eastAsia="Calibri" w:cs="Calibri"/>
      <w:sz w:val="24"/>
    </w:rPr>
  </w:style>
  <w:style w:type="character" w:styleId="709">
    <w:name w:val="Footer Char"/>
    <w:basedOn w:val="856"/>
    <w:uiPriority w:val="99"/>
    <w:rPr>
      <w:rFonts w:ascii="Calibri" w:hAnsi="Calibri" w:eastAsia="Calibri" w:cs="Calibri"/>
      <w:sz w:val="24"/>
    </w:rPr>
  </w:style>
  <w:style w:type="paragraph" w:styleId="710">
    <w:name w:val="Caption"/>
    <w:basedOn w:val="855"/>
    <w:link w:val="711"/>
    <w:uiPriority w:val="35"/>
    <w:semiHidden/>
    <w:unhideWhenUsed/>
    <w:qFormat/>
    <w:pPr>
      <w:jc w:val="left"/>
      <w:spacing w:before="0" w:after="0" w:line="276" w:lineRule="auto"/>
    </w:pPr>
    <w:rPr>
      <w:rFonts w:ascii="Calibri" w:hAnsi="Calibri" w:eastAsia="Calibri" w:cs="Calibri"/>
      <w:b/>
      <w:color w:val="4f81bd"/>
      <w:sz w:val="18"/>
    </w:rPr>
  </w:style>
  <w:style w:type="character" w:styleId="711">
    <w:name w:val="Caption Char"/>
    <w:basedOn w:val="710"/>
    <w:uiPriority w:val="35"/>
    <w:rPr>
      <w:rFonts w:ascii="Calibri" w:hAnsi="Calibri" w:eastAsia="Calibri" w:cs="Calibri"/>
      <w:sz w:val="24"/>
    </w:rPr>
  </w:style>
  <w:style w:type="table" w:styleId="712">
    <w:name w:val="Table Grid Light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2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16">
    <w:name w:val="Plain Table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17">
    <w:name w:val="Plain Table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18">
    <w:name w:val="Grid Table 1 Light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19">
    <w:name w:val="Grid Table 1 Light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0">
    <w:name w:val="Grid Table 1 Light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1">
    <w:name w:val="Grid Table 1 Light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2">
    <w:name w:val="Grid Table 1 Light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3">
    <w:name w:val="Grid Table 1 Light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4">
    <w:name w:val="Grid Table 1 Light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5">
    <w:name w:val="Grid Table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6">
    <w:name w:val="Grid Table 2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7">
    <w:name w:val="Grid Table 2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8">
    <w:name w:val="Grid Table 2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29">
    <w:name w:val="Grid Table 2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0">
    <w:name w:val="Grid Table 2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1">
    <w:name w:val="Grid Table 2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2">
    <w:name w:val="Grid Table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3">
    <w:name w:val="Grid Table 3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4">
    <w:name w:val="Grid Table 3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5">
    <w:name w:val="Grid Table 3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6">
    <w:name w:val="Grid Table 3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7">
    <w:name w:val="Grid Table 3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8">
    <w:name w:val="Grid Table 3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39">
    <w:name w:val="Grid Table 4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0">
    <w:name w:val="Grid Table 4 - Accent 1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1">
    <w:name w:val="Grid Table 4 - Accent 2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2">
    <w:name w:val="Grid Table 4 - Accent 3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3">
    <w:name w:val="Grid Table 4 - Accent 4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4">
    <w:name w:val="Grid Table 4 - Accent 5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5">
    <w:name w:val="Grid Table 4 - Accent 6"/>
    <w:basedOn w:val="857"/>
    <w:uiPriority w:val="5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46">
    <w:name w:val="Grid Table 5 Dark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bfbfbf"/>
      <w:tblLayout w:type="autofit"/>
      <w:tblCellMar>
        <w:left w:w="0" w:type="dxa"/>
        <w:right w:w="0" w:type="dxa"/>
      </w:tblCellMar>
    </w:tblPr>
  </w:style>
  <w:style w:type="table" w:styleId="747">
    <w:name w:val="Grid Table 5 Dark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ae5f1"/>
      <w:tblLayout w:type="autofit"/>
      <w:tblCellMar>
        <w:left w:w="0" w:type="dxa"/>
        <w:right w:w="0" w:type="dxa"/>
      </w:tblCellMar>
    </w:tblPr>
  </w:style>
  <w:style w:type="table" w:styleId="748">
    <w:name w:val="Grid Table 5 Dark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2dcdb"/>
      <w:tblLayout w:type="autofit"/>
      <w:tblCellMar>
        <w:left w:w="0" w:type="dxa"/>
        <w:right w:w="0" w:type="dxa"/>
      </w:tblCellMar>
    </w:tblPr>
  </w:style>
  <w:style w:type="table" w:styleId="749">
    <w:name w:val="Grid Table 5 Dark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af0dd"/>
      <w:tblLayout w:type="autofit"/>
      <w:tblCellMar>
        <w:left w:w="0" w:type="dxa"/>
        <w:right w:w="0" w:type="dxa"/>
      </w:tblCellMar>
    </w:tblPr>
  </w:style>
  <w:style w:type="table" w:styleId="750">
    <w:name w:val="Grid Table 5 Dark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e5dfec"/>
      <w:tblLayout w:type="autofit"/>
      <w:tblCellMar>
        <w:left w:w="0" w:type="dxa"/>
        <w:right w:w="0" w:type="dxa"/>
      </w:tblCellMar>
    </w:tblPr>
  </w:style>
  <w:style w:type="table" w:styleId="751">
    <w:name w:val="Grid Table 5 Dark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daeef3"/>
      <w:tblLayout w:type="autofit"/>
      <w:tblCellMar>
        <w:left w:w="0" w:type="dxa"/>
        <w:right w:w="0" w:type="dxa"/>
      </w:tblCellMar>
    </w:tblPr>
  </w:style>
  <w:style w:type="table" w:styleId="752">
    <w:name w:val="Grid Table 5 Dark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ffffff" w:fill="fde9d8"/>
      <w:tblLayout w:type="autofit"/>
      <w:tblCellMar>
        <w:left w:w="0" w:type="dxa"/>
        <w:right w:w="0" w:type="dxa"/>
      </w:tblCellMar>
    </w:tblPr>
  </w:style>
  <w:style w:type="table" w:styleId="753">
    <w:name w:val="Grid Table 6 Colorful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4">
    <w:name w:val="Grid Table 6 Colorful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5">
    <w:name w:val="Grid Table 6 Colorful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6">
    <w:name w:val="Grid Table 6 Colorful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7">
    <w:name w:val="Grid Table 6 Colorful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8">
    <w:name w:val="Grid Table 6 Colorful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59">
    <w:name w:val="Grid Table 6 Colorful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0">
    <w:name w:val="Grid Table 7 Colorful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1">
    <w:name w:val="Grid Table 7 Colorful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2">
    <w:name w:val="Grid Table 7 Colorful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3">
    <w:name w:val="Grid Table 7 Colorful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4">
    <w:name w:val="Grid Table 7 Colorful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5">
    <w:name w:val="Grid Table 7 Colorful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6">
    <w:name w:val="Grid Table 7 Colorful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767">
    <w:name w:val="List Table 1 Light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68">
    <w:name w:val="List Table 1 Light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69">
    <w:name w:val="List Table 1 Light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0">
    <w:name w:val="List Table 1 Light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1">
    <w:name w:val="List Table 1 Light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2">
    <w:name w:val="List Table 1 Light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3">
    <w:name w:val="List Table 1 Light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4">
    <w:name w:val="List Table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5">
    <w:name w:val="List Table 2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6">
    <w:name w:val="List Table 2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7">
    <w:name w:val="List Table 2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8">
    <w:name w:val="List Table 2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79">
    <w:name w:val="List Table 2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0">
    <w:name w:val="List Table 2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1">
    <w:name w:val="List Table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2">
    <w:name w:val="List Table 3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3">
    <w:name w:val="List Table 3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4">
    <w:name w:val="List Table 3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5">
    <w:name w:val="List Table 3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6">
    <w:name w:val="List Table 3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7">
    <w:name w:val="List Table 3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8">
    <w:name w:val="List Table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89">
    <w:name w:val="List Table 4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90">
    <w:name w:val="List Table 4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91">
    <w:name w:val="List Table 4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92">
    <w:name w:val="List Table 4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93">
    <w:name w:val="List Table 4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94">
    <w:name w:val="List Table 4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795">
    <w:name w:val="List Table 5 Dark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7f7f7f"/>
      <w:tblLayout w:type="autofit"/>
      <w:tblCellMar>
        <w:left w:w="0" w:type="dxa"/>
        <w:right w:w="0" w:type="dxa"/>
      </w:tblCellMar>
    </w:tblPr>
  </w:style>
  <w:style w:type="table" w:styleId="796">
    <w:name w:val="List Table 5 Dark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4f81bd"/>
      <w:tblLayout w:type="autofit"/>
      <w:tblCellMar>
        <w:left w:w="0" w:type="dxa"/>
        <w:right w:w="0" w:type="dxa"/>
      </w:tblCellMar>
    </w:tblPr>
  </w:style>
  <w:style w:type="table" w:styleId="797">
    <w:name w:val="List Table 5 Dark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d99694"/>
      <w:tblLayout w:type="autofit"/>
      <w:tblCellMar>
        <w:left w:w="0" w:type="dxa"/>
        <w:right w:w="0" w:type="dxa"/>
      </w:tblCellMar>
    </w:tblPr>
  </w:style>
  <w:style w:type="table" w:styleId="798">
    <w:name w:val="List Table 5 Dark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c3d69b"/>
      <w:tblLayout w:type="autofit"/>
      <w:tblCellMar>
        <w:left w:w="0" w:type="dxa"/>
        <w:right w:w="0" w:type="dxa"/>
      </w:tblCellMar>
    </w:tblPr>
  </w:style>
  <w:style w:type="table" w:styleId="799">
    <w:name w:val="List Table 5 Dark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b2a1c6"/>
      <w:tblLayout w:type="autofit"/>
      <w:tblCellMar>
        <w:left w:w="0" w:type="dxa"/>
        <w:right w:w="0" w:type="dxa"/>
      </w:tblCellMar>
    </w:tblPr>
  </w:style>
  <w:style w:type="table" w:styleId="800">
    <w:name w:val="List Table 5 Dark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91cddc"/>
      <w:tblLayout w:type="autofit"/>
      <w:tblCellMar>
        <w:left w:w="0" w:type="dxa"/>
        <w:right w:w="0" w:type="dxa"/>
      </w:tblCellMar>
    </w:tblPr>
  </w:style>
  <w:style w:type="table" w:styleId="801">
    <w:name w:val="List Table 5 Dark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32" w:space="0"/>
        <w:left w:val="none" w:color="000000" w:sz="32" w:space="0"/>
        <w:bottom w:val="none" w:color="000000" w:sz="32" w:space="0"/>
        <w:right w:val="none" w:color="000000" w:sz="32" w:space="0"/>
        <w:insideH w:val="none" w:color="000000" w:sz="0" w:space="0"/>
        <w:insideV w:val="none" w:color="000000" w:sz="0" w:space="0"/>
      </w:tblBorders>
      <w:shd w:val="clear" w:color="ffffff" w:fill="f9bf90"/>
      <w:tblLayout w:type="autofit"/>
      <w:tblCellMar>
        <w:left w:w="0" w:type="dxa"/>
        <w:right w:w="0" w:type="dxa"/>
      </w:tblCellMar>
    </w:tblPr>
  </w:style>
  <w:style w:type="table" w:styleId="802">
    <w:name w:val="List Table 6 Colorful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3">
    <w:name w:val="List Table 6 Colorful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4">
    <w:name w:val="List Table 6 Colorful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5">
    <w:name w:val="List Table 6 Colorful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6">
    <w:name w:val="List Table 6 Colorful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7">
    <w:name w:val="List Table 6 Colorful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8">
    <w:name w:val="List Table 6 Colorful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0" w:space="0"/>
        <w:bottom w:val="none" w:color="000000" w:sz="4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09">
    <w:name w:val="List Table 7 Colorful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0">
    <w:name w:val="List Table 7 Colorful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1">
    <w:name w:val="List Table 7 Colorful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2">
    <w:name w:val="List Table 7 Colorful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3">
    <w:name w:val="List Table 7 Colorful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4">
    <w:name w:val="List Table 7 Colorful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5">
    <w:name w:val="List Table 7 Colorful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4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6">
    <w:name w:val="Lined - Accent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7">
    <w:name w:val="Lined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8">
    <w:name w:val="Lined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19">
    <w:name w:val="Lined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0">
    <w:name w:val="Lined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1">
    <w:name w:val="Lined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2">
    <w:name w:val="Lined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tblLayout w:type="autofit"/>
      <w:tblCellMar>
        <w:left w:w="0" w:type="dxa"/>
        <w:right w:w="0" w:type="dxa"/>
      </w:tblCellMar>
    </w:tblPr>
  </w:style>
  <w:style w:type="table" w:styleId="823">
    <w:name w:val="Bordered &amp; Lined - Accent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4">
    <w:name w:val="Bordered &amp; Lined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5">
    <w:name w:val="Bordered &amp; Lined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6">
    <w:name w:val="Bordered &amp; Lined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7">
    <w:name w:val="Bordered &amp; Lined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8">
    <w:name w:val="Bordered &amp; Lined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29">
    <w:name w:val="Bordered &amp; Lined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color w:val="404040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0">
    <w:name w:val="Bordered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1">
    <w:name w:val="Bordered - Accent 1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2">
    <w:name w:val="Bordered - Accent 2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3">
    <w:name w:val="Bordered - Accent 3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4">
    <w:name w:val="Bordered - Accent 4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5">
    <w:name w:val="Bordered - Accent 5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table" w:styleId="836">
    <w:name w:val="Bordered - Accent 6"/>
    <w:basedOn w:val="857"/>
    <w:uiPriority w:val="99"/>
    <w:pPr>
      <w:jc w:val="left"/>
      <w:spacing w:before="0" w:after="0" w:line="240" w:lineRule="auto"/>
    </w:pPr>
    <w:rPr>
      <w:rFonts w:ascii="Calibri" w:hAnsi="Calibri" w:eastAsia="Calibri" w:cs="Calibri"/>
      <w:sz w:val="24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right w:w="0" w:type="dxa"/>
      </w:tblCellMar>
    </w:tblPr>
  </w:style>
  <w:style w:type="character" w:styleId="837">
    <w:name w:val="Hyperlink"/>
    <w:uiPriority w:val="99"/>
    <w:unhideWhenUsed/>
    <w:rPr>
      <w:rFonts w:ascii="Calibri" w:hAnsi="Calibri" w:eastAsia="Calibri" w:cs="Calibri"/>
      <w:color w:val="0000ff"/>
      <w:sz w:val="24"/>
      <w:u w:val="single"/>
    </w:rPr>
  </w:style>
  <w:style w:type="paragraph" w:styleId="838">
    <w:name w:val="footnote text"/>
    <w:basedOn w:val="855"/>
    <w:uiPriority w:val="99"/>
    <w:semiHidden/>
    <w:unhideWhenUsed/>
    <w:pPr>
      <w:jc w:val="left"/>
      <w:spacing w:before="0" w:after="40" w:line="240" w:lineRule="auto"/>
    </w:pPr>
    <w:rPr>
      <w:rFonts w:ascii="Calibri" w:hAnsi="Calibri" w:eastAsia="Calibri" w:cs="Calibri"/>
      <w:sz w:val="18"/>
    </w:rPr>
  </w:style>
  <w:style w:type="character" w:styleId="839">
    <w:name w:val="Footnote Text Char"/>
    <w:uiPriority w:val="99"/>
    <w:rPr>
      <w:rFonts w:ascii="Calibri" w:hAnsi="Calibri" w:eastAsia="Calibri" w:cs="Calibri"/>
      <w:sz w:val="18"/>
    </w:rPr>
  </w:style>
  <w:style w:type="character" w:styleId="840">
    <w:name w:val="footnote reference"/>
    <w:basedOn w:val="856"/>
    <w:uiPriority w:val="99"/>
    <w:unhideWhenUsed/>
    <w:rPr>
      <w:rFonts w:ascii="Calibri" w:hAnsi="Calibri" w:eastAsia="Calibri" w:cs="Calibri"/>
      <w:sz w:val="24"/>
      <w:vertAlign w:val="superscript"/>
    </w:rPr>
  </w:style>
  <w:style w:type="paragraph" w:styleId="841">
    <w:name w:val="endnote text"/>
    <w:basedOn w:val="855"/>
    <w:uiPriority w:val="99"/>
    <w:semiHidden/>
    <w:unhideWhenUsed/>
    <w:pPr>
      <w:jc w:val="left"/>
      <w:spacing w:before="0" w:after="0" w:line="240" w:lineRule="auto"/>
    </w:pPr>
    <w:rPr>
      <w:rFonts w:ascii="Calibri" w:hAnsi="Calibri" w:eastAsia="Calibri" w:cs="Calibri"/>
      <w:sz w:val="20"/>
    </w:rPr>
  </w:style>
  <w:style w:type="character" w:styleId="842">
    <w:name w:val="Endnote Text Char"/>
    <w:uiPriority w:val="99"/>
    <w:rPr>
      <w:rFonts w:ascii="Calibri" w:hAnsi="Calibri" w:eastAsia="Calibri" w:cs="Calibri"/>
      <w:sz w:val="20"/>
    </w:rPr>
  </w:style>
  <w:style w:type="character" w:styleId="843">
    <w:name w:val="endnote reference"/>
    <w:basedOn w:val="856"/>
    <w:uiPriority w:val="99"/>
    <w:semiHidden/>
    <w:unhideWhenUsed/>
    <w:rPr>
      <w:rFonts w:ascii="Calibri" w:hAnsi="Calibri" w:eastAsia="Calibri" w:cs="Calibri"/>
      <w:sz w:val="24"/>
      <w:vertAlign w:val="superscript"/>
    </w:rPr>
  </w:style>
  <w:style w:type="paragraph" w:styleId="844">
    <w:name w:val="toc 1"/>
    <w:basedOn w:val="855"/>
    <w:uiPriority w:val="39"/>
    <w:unhideWhenUsed/>
    <w:pPr>
      <w:ind w:left="0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45">
    <w:name w:val="toc 2"/>
    <w:basedOn w:val="855"/>
    <w:uiPriority w:val="39"/>
    <w:unhideWhenUsed/>
    <w:pPr>
      <w:ind w:left="283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46">
    <w:name w:val="toc 3"/>
    <w:basedOn w:val="855"/>
    <w:uiPriority w:val="39"/>
    <w:unhideWhenUsed/>
    <w:pPr>
      <w:ind w:left="567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47">
    <w:name w:val="toc 4"/>
    <w:basedOn w:val="855"/>
    <w:uiPriority w:val="39"/>
    <w:unhideWhenUsed/>
    <w:pPr>
      <w:ind w:left="850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48">
    <w:name w:val="toc 5"/>
    <w:basedOn w:val="855"/>
    <w:uiPriority w:val="39"/>
    <w:unhideWhenUsed/>
    <w:pPr>
      <w:ind w:left="1134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49">
    <w:name w:val="toc 6"/>
    <w:basedOn w:val="855"/>
    <w:uiPriority w:val="39"/>
    <w:unhideWhenUsed/>
    <w:pPr>
      <w:ind w:left="1417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50">
    <w:name w:val="toc 7"/>
    <w:basedOn w:val="855"/>
    <w:uiPriority w:val="39"/>
    <w:unhideWhenUsed/>
    <w:pPr>
      <w:ind w:left="1701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51">
    <w:name w:val="toc 8"/>
    <w:basedOn w:val="855"/>
    <w:uiPriority w:val="39"/>
    <w:unhideWhenUsed/>
    <w:pPr>
      <w:ind w:left="1984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52">
    <w:name w:val="toc 9"/>
    <w:basedOn w:val="855"/>
    <w:uiPriority w:val="39"/>
    <w:unhideWhenUsed/>
    <w:pPr>
      <w:ind w:left="2268" w:firstLine="0"/>
      <w:jc w:val="left"/>
      <w:spacing w:before="0" w:after="57" w:line="240" w:lineRule="auto"/>
    </w:pPr>
    <w:rPr>
      <w:rFonts w:ascii="Calibri" w:hAnsi="Calibri" w:eastAsia="Calibri" w:cs="Calibri"/>
      <w:sz w:val="24"/>
    </w:rPr>
  </w:style>
  <w:style w:type="paragraph" w:styleId="853">
    <w:name w:val="TOC Heading"/>
    <w:uiPriority w:val="39"/>
    <w:unhideWhenUsed/>
    <w:pPr>
      <w:jc w:val="left"/>
      <w:spacing w:before="0" w:after="0" w:line="240" w:lineRule="auto"/>
    </w:pPr>
    <w:rPr>
      <w:rFonts w:ascii="Calibri" w:hAnsi="Calibri" w:eastAsia="Calibri" w:cs="Calibri"/>
      <w:sz w:val="24"/>
    </w:rPr>
  </w:style>
  <w:style w:type="paragraph" w:styleId="854">
    <w:name w:val="table of figures"/>
    <w:basedOn w:val="855"/>
    <w:uiPriority w:val="99"/>
    <w:unhideWhenUsed/>
    <w:pPr>
      <w:jc w:val="left"/>
      <w:spacing w:before="0" w:after="0" w:line="240" w:lineRule="auto"/>
    </w:pPr>
    <w:rPr>
      <w:rFonts w:ascii="Calibri" w:hAnsi="Calibri" w:eastAsia="Calibri" w:cs="Calibri"/>
      <w:sz w:val="24"/>
    </w:rPr>
  </w:style>
  <w:style w:type="paragraph" w:styleId="855" w:default="1">
    <w:name w:val="Normal"/>
    <w:qFormat/>
    <w:pPr>
      <w:ind w:left="0"/>
      <w:jc w:val="left"/>
      <w:spacing w:before="0" w:after="200" w:line="276" w:lineRule="auto"/>
    </w:pPr>
    <w:rPr>
      <w:rFonts w:ascii="Calibri" w:hAnsi="Calibri" w:eastAsia="Calibri" w:cs="Calibri"/>
      <w:sz w:val="22"/>
    </w:rPr>
  </w:style>
  <w:style w:type="character" w:styleId="856" w:default="1">
    <w:name w:val="Default Paragraph Font"/>
    <w:uiPriority w:val="1"/>
    <w:semiHidden/>
    <w:rPr>
      <w:rFonts w:ascii="Calibri" w:hAnsi="Calibri" w:eastAsia="Calibri" w:cs="Calibri"/>
      <w:sz w:val="24"/>
    </w:rPr>
  </w:style>
  <w:style w:type="table" w:styleId="857" w:default="1">
    <w:name w:val="Normal Table"/>
    <w:uiPriority w:val="99"/>
    <w:semiHidden/>
    <w:unhideWhenUsed/>
    <w:pPr>
      <w:ind w:left="0"/>
      <w:jc w:val="left"/>
      <w:spacing w:before="0" w:after="200" w:line="276" w:lineRule="auto"/>
    </w:pPr>
    <w:rPr>
      <w:rFonts w:ascii="Calibri" w:hAnsi="Calibri" w:eastAsia="Calibri" w:cs="Calibri"/>
      <w:sz w:val="22"/>
    </w:rPr>
    <w:tblPr>
      <w:tblW w:w="0" w:type="auto"/>
      <w:tblInd w:w="0" w:type="dxa"/>
      <w:tblBorders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insideH w:val="none" w:color="000000" w:sz="0" w:space="0"/>
        <w:insideV w:val="none" w:color="000000" w:sz="0" w:space="0"/>
      </w:tblBorders>
      <w:shd w:val="clear" w:color="000000" w:fill="000000"/>
      <w:tblLayout w:type="autofit"/>
      <w:tblCellMar>
        <w:left w:w="108" w:type="dxa"/>
        <w:right w:w="108" w:type="dxa"/>
      </w:tblCellMar>
    </w:tblPr>
  </w:style>
  <w:style w:type="table" w:styleId="858">
    <w:name w:val="Table Grid"/>
    <w:basedOn w:val="857"/>
    <w:uiPriority w:val="59"/>
    <w:pPr>
      <w:ind w:left="0"/>
      <w:jc w:val="left"/>
      <w:spacing w:before="0" w:after="0" w:line="240" w:lineRule="auto"/>
    </w:pPr>
    <w:rPr>
      <w:rFonts w:ascii="Calibri" w:hAnsi="Calibri" w:eastAsia="Calibri" w:cs="Calibri"/>
      <w:sz w:val="20"/>
    </w:rPr>
    <w:tblPr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shd w:val="clear" w:color="000000" w:fill="000000"/>
      <w:tblLayout w:type="autofit"/>
      <w:tblCellMar>
        <w:left w:w="108" w:type="dxa"/>
        <w:right w:w="108" w:type="dxa"/>
      </w:tblCellMar>
    </w:tblPr>
  </w:style>
  <w:style w:type="paragraph" w:styleId="859">
    <w:name w:val="Balloon Text"/>
    <w:basedOn w:val="855"/>
    <w:semiHidden/>
    <w:pPr>
      <w:ind w:left="0"/>
      <w:jc w:val="left"/>
      <w:spacing w:before="0" w:after="200" w:line="276" w:lineRule="auto"/>
    </w:pPr>
    <w:rPr>
      <w:rFonts w:ascii="Tahoma" w:hAnsi="Tahoma" w:eastAsia="Tahoma" w:cs="Tahoma"/>
      <w:sz w:val="16"/>
    </w:rPr>
  </w:style>
  <w:style w:type="character" w:styleId="860">
    <w:name w:val="Текст выноски Знак"/>
    <w:basedOn w:val="856"/>
    <w:semiHidden/>
    <w:rPr>
      <w:rFonts w:ascii="TimesNewRoman" w:hAnsi="TimesNewRoman" w:eastAsia="TimesNewRoman" w:cs="TimesNewRoman"/>
      <w:sz w:val="2"/>
    </w:rPr>
  </w:style>
  <w:style w:type="paragraph" w:styleId="861">
    <w:name w:val="Знак"/>
    <w:basedOn w:val="855"/>
    <w:pPr>
      <w:ind w:left="0"/>
      <w:jc w:val="both"/>
      <w:spacing w:before="0" w:after="0" w:line="240" w:lineRule="auto"/>
    </w:pPr>
    <w:rPr>
      <w:rFonts w:ascii="Arial" w:hAnsi="Arial" w:eastAsia="Arial" w:cs="Arial"/>
      <w:sz w:val="21"/>
    </w:rPr>
  </w:style>
  <w:style w:type="numbering" w:styleId="862" w:default="1">
    <w:name w:val="No List"/>
    <w:uiPriority w:val="99"/>
    <w:semiHidden/>
    <w:unhideWhenUsed/>
  </w:style>
  <w:style w:type="paragraph" w:styleId="863" w:customStyle="1">
    <w:name w:val="Абзац списка"/>
    <w:uiPriority w:val="34"/>
    <w:qFormat/>
    <w:pPr>
      <w:contextualSpacing w:val="0"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Чесменского</dc:title>
  <dc:creator>могилова наталья</dc:creator>
  <cp:revision>12</cp:revision>
  <dcterms:modified xsi:type="dcterms:W3CDTF">2026-08-26T11:21:32Z</dcterms:modified>
</cp:coreProperties>
</file>