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540" w:lineRule="atLeast"/>
        <w:ind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 xml:space="preserve">На сайт администрации Каслинского муниципального округа </w:t>
      </w:r>
    </w:p>
    <w:p w14:paraId="02000000">
      <w:pPr>
        <w:widowControl w:val="1"/>
        <w:spacing w:line="540" w:lineRule="atLeast"/>
        <w:ind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 xml:space="preserve">Каслинская городская прокуратура разъясняет: </w:t>
      </w:r>
    </w:p>
    <w:p w14:paraId="03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</w:p>
    <w:p w14:paraId="04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</w:p>
    <w:p w14:paraId="05000000">
      <w:pPr>
        <w:widowControl w:val="1"/>
        <w:ind/>
        <w:jc w:val="center"/>
        <w:rPr>
          <w:b w:val="1"/>
          <w:color w:val="333333"/>
          <w:sz w:val="28"/>
        </w:rPr>
      </w:pPr>
      <w:r>
        <w:rPr>
          <w:b w:val="1"/>
          <w:color w:val="333333"/>
          <w:sz w:val="28"/>
        </w:rPr>
        <w:t>Право подопечного ребенка на вступление в наследство умерших родителей, лишенных родительских прав</w:t>
      </w:r>
    </w:p>
    <w:p w14:paraId="06000000">
      <w:pPr>
        <w:pStyle w:val="Style_1"/>
        <w:widowControl w:val="1"/>
        <w:spacing w:before="0"/>
        <w:ind/>
        <w:jc w:val="both"/>
        <w:rPr>
          <w:color w:val="333333"/>
          <w:sz w:val="28"/>
        </w:rPr>
      </w:pPr>
    </w:p>
    <w:p w14:paraId="07000000">
      <w:pPr>
        <w:pStyle w:val="Style_1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Согласно ч. 4 ст. 71 Семейного кодекса Российской Федерации ребенок, родители (один из них) которого лишены родительских прав,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наследства.</w:t>
      </w:r>
    </w:p>
    <w:p w14:paraId="08000000">
      <w:pPr>
        <w:pStyle w:val="Style_1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Таким образом, если вступление в наследство не влечет неблагоприятных имущественных последствий для несовершеннолетнего (например, возложение на не</w:t>
      </w:r>
      <w:r>
        <w:rPr>
          <w:color w:val="333333"/>
          <w:sz w:val="28"/>
        </w:rPr>
        <w:t>го дополнительной ответственности по долгам наследодателя и т.д.), то в случае смерти родителя, лишенного родительских прав, законный представитель подопечного должен обратиться к нотариусу по месту открытия наследства с заявлением о принятии наследства и выдаче свидетельства о праве на наследство не позднее шести месяцев с момента смерти наследодателя (ст.ст. 1153, 1154 Гражданского кодекса Российской Федерации).</w:t>
      </w:r>
    </w:p>
    <w:p w14:paraId="09000000">
      <w:pPr>
        <w:pStyle w:val="Style_1"/>
        <w:widowControl w:val="1"/>
        <w:spacing w:before="0"/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Если же принятие наследства может привести к умалению имущества подопечного, то следует отказаться от принятия наследства, также обратившись с соответствующим заявлением к нотариусу, получив предварительно разрешение органа опеки и попечительства на отказ от наследства (ст. 37 Гражданского кодекса Российской Федерации).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/>
    </w:pPr>
  </w:style>
  <w:style w:styleId="Style_1_ch" w:type="character">
    <w:name w:val="Normal (Web)"/>
    <w:basedOn w:val="Style_2_ch"/>
    <w:link w:val="Style_1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feeds-page__navigation_icon is-text"/>
    <w:basedOn w:val="Style_10"/>
    <w:link w:val="Style_17_ch"/>
  </w:style>
  <w:style w:styleId="Style_17_ch" w:type="character">
    <w:name w:val="feeds-page__navigation_icon is-text"/>
    <w:basedOn w:val="Style_10_ch"/>
    <w:link w:val="Style_17"/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feeds-page__navigation_icon is-share"/>
    <w:basedOn w:val="Style_10"/>
    <w:link w:val="Style_21_ch"/>
  </w:style>
  <w:style w:styleId="Style_21_ch" w:type="character">
    <w:name w:val="feeds-page__navigation_icon is-share"/>
    <w:basedOn w:val="Style_10_ch"/>
    <w:link w:val="Style_21"/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feeds-page__navigation_tooltip"/>
    <w:basedOn w:val="Style_10"/>
    <w:link w:val="Style_26_ch"/>
  </w:style>
  <w:style w:styleId="Style_26_ch" w:type="character">
    <w:name w:val="feeds-page__navigation_tooltip"/>
    <w:basedOn w:val="Style_10_ch"/>
    <w:link w:val="Style_26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2026-06-21T15:05:58Z</dcterms:created>
  <dcterms:modified xsi:type="dcterms:W3CDTF">2026-06-21T15:05:58Z</dcterms:modified>
</cp:coreProperties>
</file>